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9C58" w14:textId="61198A6A" w:rsidR="00084B08" w:rsidRDefault="00084B08" w:rsidP="00084B08">
      <w:pPr>
        <w:spacing w:before="240" w:after="60" w:line="240" w:lineRule="auto"/>
        <w:contextualSpacing/>
        <w:jc w:val="center"/>
        <w:rPr>
          <w:rFonts w:asciiTheme="minorBidi" w:hAnsiTheme="minorBidi"/>
          <w:b/>
          <w:bCs/>
          <w:sz w:val="24"/>
          <w:szCs w:val="24"/>
        </w:rPr>
      </w:pPr>
      <w:r>
        <w:rPr>
          <w:noProof/>
        </w:rPr>
        <w:drawing>
          <wp:inline distT="0" distB="0" distL="0" distR="0" wp14:anchorId="1799B962" wp14:editId="4BBC6079">
            <wp:extent cx="1547285" cy="719534"/>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7285" cy="719534"/>
                    </a:xfrm>
                    <a:prstGeom prst="rect">
                      <a:avLst/>
                    </a:prstGeom>
                    <a:noFill/>
                    <a:ln>
                      <a:noFill/>
                    </a:ln>
                  </pic:spPr>
                </pic:pic>
              </a:graphicData>
            </a:graphic>
          </wp:inline>
        </w:drawing>
      </w:r>
    </w:p>
    <w:p w14:paraId="2BDFE491" w14:textId="77777777" w:rsidR="00084B08" w:rsidRDefault="00084B08" w:rsidP="00084B08">
      <w:pPr>
        <w:spacing w:before="240" w:after="60" w:line="240" w:lineRule="auto"/>
        <w:contextualSpacing/>
        <w:jc w:val="center"/>
        <w:rPr>
          <w:rFonts w:asciiTheme="minorBidi" w:hAnsiTheme="minorBidi"/>
          <w:b/>
          <w:bCs/>
          <w:sz w:val="24"/>
          <w:szCs w:val="24"/>
        </w:rPr>
      </w:pPr>
    </w:p>
    <w:p w14:paraId="102E8A21" w14:textId="6C0B0A66" w:rsidR="002A3C05" w:rsidRDefault="009B6E3C" w:rsidP="00084B08">
      <w:pPr>
        <w:spacing w:before="240" w:after="60" w:line="240" w:lineRule="auto"/>
        <w:contextualSpacing/>
        <w:jc w:val="center"/>
        <w:rPr>
          <w:rFonts w:asciiTheme="minorBidi" w:hAnsiTheme="minorBidi"/>
          <w:b/>
          <w:bCs/>
          <w:sz w:val="24"/>
          <w:szCs w:val="24"/>
        </w:rPr>
      </w:pPr>
      <w:r w:rsidRPr="00084B08">
        <w:rPr>
          <w:rFonts w:asciiTheme="minorBidi" w:hAnsiTheme="minorBidi"/>
          <w:b/>
          <w:bCs/>
          <w:sz w:val="24"/>
          <w:szCs w:val="24"/>
        </w:rPr>
        <w:t>Ethical Fundraising and Partnerships Policy</w:t>
      </w:r>
    </w:p>
    <w:p w14:paraId="7E9AE3D6" w14:textId="77777777" w:rsidR="00813163" w:rsidRPr="00084B08" w:rsidRDefault="00813163" w:rsidP="00084B08">
      <w:pPr>
        <w:spacing w:before="240" w:after="60" w:line="240" w:lineRule="auto"/>
        <w:contextualSpacing/>
        <w:jc w:val="center"/>
        <w:rPr>
          <w:rFonts w:asciiTheme="minorBidi" w:hAnsiTheme="minorBidi"/>
          <w:b/>
          <w:bCs/>
          <w:sz w:val="24"/>
          <w:szCs w:val="24"/>
        </w:rPr>
      </w:pPr>
    </w:p>
    <w:p w14:paraId="4690D86D" w14:textId="77777777" w:rsidR="009B6E3C" w:rsidRPr="00084B08" w:rsidRDefault="009B6E3C" w:rsidP="00084B08">
      <w:pPr>
        <w:pStyle w:val="ListParagraph"/>
        <w:numPr>
          <w:ilvl w:val="0"/>
          <w:numId w:val="1"/>
        </w:numPr>
        <w:spacing w:before="240" w:after="60" w:line="240" w:lineRule="auto"/>
        <w:jc w:val="both"/>
        <w:rPr>
          <w:rFonts w:asciiTheme="minorBidi" w:hAnsiTheme="minorBidi"/>
          <w:b/>
          <w:bCs/>
          <w:sz w:val="24"/>
          <w:szCs w:val="24"/>
        </w:rPr>
      </w:pPr>
      <w:r w:rsidRPr="00084B08">
        <w:rPr>
          <w:rFonts w:asciiTheme="minorBidi" w:hAnsiTheme="minorBidi"/>
          <w:b/>
          <w:bCs/>
          <w:sz w:val="24"/>
          <w:szCs w:val="24"/>
        </w:rPr>
        <w:t>Introduction</w:t>
      </w:r>
    </w:p>
    <w:p w14:paraId="04FC3B6D" w14:textId="77777777" w:rsidR="009B6E3C"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Historic England is pleased to collaborate with external organisations and individuals to achieve shared objectives that observe our corporate values.</w:t>
      </w:r>
    </w:p>
    <w:p w14:paraId="14E4C77C" w14:textId="4A67F70F" w:rsidR="009B6E3C"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This policy has been devised to ensure clarity and openness to those from whom we will accept either money or other benefits, those with whom we will collaborate and form partnerships as well as our wider audiences and stakeholders.</w:t>
      </w:r>
    </w:p>
    <w:p w14:paraId="117DCF92" w14:textId="77777777" w:rsidR="002018F7" w:rsidRPr="00084B08" w:rsidRDefault="002018F7" w:rsidP="00084B08">
      <w:pPr>
        <w:spacing w:before="240" w:after="60" w:line="240" w:lineRule="auto"/>
        <w:contextualSpacing/>
        <w:jc w:val="both"/>
        <w:rPr>
          <w:rFonts w:asciiTheme="minorBidi" w:hAnsiTheme="minorBidi"/>
          <w:sz w:val="24"/>
          <w:szCs w:val="24"/>
        </w:rPr>
      </w:pPr>
    </w:p>
    <w:p w14:paraId="23D04E33" w14:textId="77777777" w:rsidR="009B6E3C" w:rsidRPr="00084B08" w:rsidRDefault="009B6E3C" w:rsidP="00084B08">
      <w:pPr>
        <w:pStyle w:val="ListParagraph"/>
        <w:numPr>
          <w:ilvl w:val="0"/>
          <w:numId w:val="1"/>
        </w:numPr>
        <w:spacing w:before="240" w:after="60" w:line="240" w:lineRule="auto"/>
        <w:jc w:val="both"/>
        <w:rPr>
          <w:rFonts w:asciiTheme="minorBidi" w:hAnsiTheme="minorBidi"/>
          <w:b/>
          <w:bCs/>
          <w:sz w:val="24"/>
          <w:szCs w:val="24"/>
        </w:rPr>
      </w:pPr>
      <w:r w:rsidRPr="00084B08">
        <w:rPr>
          <w:rFonts w:asciiTheme="minorBidi" w:hAnsiTheme="minorBidi"/>
          <w:b/>
          <w:bCs/>
          <w:sz w:val="24"/>
          <w:szCs w:val="24"/>
        </w:rPr>
        <w:t>About Historic England</w:t>
      </w:r>
    </w:p>
    <w:p w14:paraId="58F638EE" w14:textId="77777777" w:rsidR="009B6E3C"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Historic England is the public body that champions and protects England’s spectacular historic environment. Through our work we help people across England to understand, value and enjoy it.</w:t>
      </w:r>
    </w:p>
    <w:p w14:paraId="02D3E4D6" w14:textId="726171A1" w:rsidR="009B6E3C"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We champion historic places so that everyone, from individuals and communities to government and </w:t>
      </w:r>
      <w:r w:rsidR="002018F7" w:rsidRPr="00084B08">
        <w:rPr>
          <w:rFonts w:asciiTheme="minorBidi" w:hAnsiTheme="minorBidi"/>
          <w:sz w:val="24"/>
          <w:szCs w:val="24"/>
        </w:rPr>
        <w:t>homeowners</w:t>
      </w:r>
      <w:r w:rsidRPr="00084B08">
        <w:rPr>
          <w:rFonts w:asciiTheme="minorBidi" w:hAnsiTheme="minorBidi"/>
          <w:sz w:val="24"/>
          <w:szCs w:val="24"/>
        </w:rPr>
        <w:t xml:space="preserve"> can look after and care for heritage. We make sure they understand and appreciate the benefits England’s heritage brings and why it should be respected, cherished and enhanced.</w:t>
      </w:r>
    </w:p>
    <w:p w14:paraId="7CBD173C" w14:textId="15EF99BF" w:rsidR="009B6E3C"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We </w:t>
      </w:r>
      <w:proofErr w:type="gramStart"/>
      <w:r w:rsidRPr="00084B08">
        <w:rPr>
          <w:rFonts w:asciiTheme="minorBidi" w:hAnsiTheme="minorBidi"/>
          <w:sz w:val="24"/>
          <w:szCs w:val="24"/>
        </w:rPr>
        <w:t>open up</w:t>
      </w:r>
      <w:proofErr w:type="gramEnd"/>
      <w:r w:rsidRPr="00084B08">
        <w:rPr>
          <w:rFonts w:asciiTheme="minorBidi" w:hAnsiTheme="minorBidi"/>
          <w:sz w:val="24"/>
          <w:szCs w:val="24"/>
        </w:rPr>
        <w:t xml:space="preserve"> heritage for everyone using digital resources, media campaigns, our archive, publishing and exhibitions.</w:t>
      </w:r>
    </w:p>
    <w:p w14:paraId="23E9DF53" w14:textId="77777777" w:rsidR="002018F7" w:rsidRPr="00084B08" w:rsidRDefault="002018F7" w:rsidP="00084B08">
      <w:pPr>
        <w:spacing w:before="240" w:after="60" w:line="240" w:lineRule="auto"/>
        <w:contextualSpacing/>
        <w:jc w:val="both"/>
        <w:rPr>
          <w:rFonts w:asciiTheme="minorBidi" w:hAnsiTheme="minorBidi"/>
          <w:sz w:val="24"/>
          <w:szCs w:val="24"/>
        </w:rPr>
      </w:pPr>
    </w:p>
    <w:p w14:paraId="6E105B22" w14:textId="77777777" w:rsidR="009B6E3C" w:rsidRPr="00084B08" w:rsidRDefault="009B6E3C" w:rsidP="00084B08">
      <w:pPr>
        <w:pStyle w:val="ListParagraph"/>
        <w:numPr>
          <w:ilvl w:val="0"/>
          <w:numId w:val="1"/>
        </w:numPr>
        <w:spacing w:before="240" w:after="60" w:line="240" w:lineRule="auto"/>
        <w:jc w:val="both"/>
        <w:rPr>
          <w:rFonts w:asciiTheme="minorBidi" w:hAnsiTheme="minorBidi"/>
          <w:b/>
          <w:bCs/>
          <w:sz w:val="24"/>
          <w:szCs w:val="24"/>
        </w:rPr>
      </w:pPr>
      <w:r w:rsidRPr="00084B08">
        <w:rPr>
          <w:rFonts w:asciiTheme="minorBidi" w:hAnsiTheme="minorBidi"/>
          <w:b/>
          <w:bCs/>
          <w:sz w:val="24"/>
          <w:szCs w:val="24"/>
        </w:rPr>
        <w:t>Key principles</w:t>
      </w:r>
    </w:p>
    <w:p w14:paraId="466BA32E" w14:textId="4E31563A"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Historic England is prepared to </w:t>
      </w:r>
      <w:proofErr w:type="gramStart"/>
      <w:r w:rsidRPr="00084B08">
        <w:rPr>
          <w:rFonts w:asciiTheme="minorBidi" w:hAnsiTheme="minorBidi"/>
          <w:sz w:val="24"/>
          <w:szCs w:val="24"/>
        </w:rPr>
        <w:t>enter into</w:t>
      </w:r>
      <w:proofErr w:type="gramEnd"/>
      <w:r w:rsidRPr="00084B08">
        <w:rPr>
          <w:rFonts w:asciiTheme="minorBidi" w:hAnsiTheme="minorBidi"/>
          <w:sz w:val="24"/>
          <w:szCs w:val="24"/>
        </w:rPr>
        <w:t xml:space="preserve"> a funding relationship with an individual or organisation if, following appropriate levels of due diligence research, it is satisfied that:</w:t>
      </w:r>
    </w:p>
    <w:p w14:paraId="454F753A" w14:textId="77777777" w:rsidR="009B6E3C" w:rsidRPr="00084B08" w:rsidRDefault="009B6E3C" w:rsidP="00084B08">
      <w:pPr>
        <w:pStyle w:val="ListParagraph"/>
        <w:numPr>
          <w:ilvl w:val="2"/>
          <w:numId w:val="8"/>
        </w:numPr>
        <w:spacing w:before="240" w:after="60" w:line="240" w:lineRule="auto"/>
        <w:jc w:val="both"/>
        <w:rPr>
          <w:rFonts w:asciiTheme="minorBidi" w:hAnsiTheme="minorBidi"/>
          <w:sz w:val="24"/>
          <w:szCs w:val="24"/>
        </w:rPr>
      </w:pPr>
      <w:r w:rsidRPr="00084B08">
        <w:rPr>
          <w:rFonts w:asciiTheme="minorBidi" w:hAnsiTheme="minorBidi"/>
          <w:sz w:val="24"/>
          <w:szCs w:val="24"/>
        </w:rPr>
        <w:t>All decisions around the funding relationship are taken in accordance with Nolan’s “7 principles of public life” (see Appendix 1</w:t>
      </w:r>
      <w:proofErr w:type="gramStart"/>
      <w:r w:rsidRPr="00084B08">
        <w:rPr>
          <w:rFonts w:asciiTheme="minorBidi" w:hAnsiTheme="minorBidi"/>
          <w:sz w:val="24"/>
          <w:szCs w:val="24"/>
        </w:rPr>
        <w:t>);</w:t>
      </w:r>
      <w:proofErr w:type="gramEnd"/>
    </w:p>
    <w:p w14:paraId="0F9A69C4" w14:textId="6DE2D9F0" w:rsidR="009B6E3C" w:rsidRPr="00084B08" w:rsidRDefault="009B6E3C" w:rsidP="00084B08">
      <w:pPr>
        <w:pStyle w:val="ListParagraph"/>
        <w:numPr>
          <w:ilvl w:val="2"/>
          <w:numId w:val="8"/>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The relationship will enable and not compromise our work as laid out in our Corporate Plan, which is available </w:t>
      </w:r>
      <w:hyperlink r:id="rId12" w:history="1">
        <w:r w:rsidRPr="00084B08">
          <w:rPr>
            <w:rStyle w:val="Hyperlink"/>
            <w:rFonts w:asciiTheme="minorBidi" w:hAnsiTheme="minorBidi"/>
            <w:sz w:val="24"/>
            <w:szCs w:val="24"/>
          </w:rPr>
          <w:t>here</w:t>
        </w:r>
      </w:hyperlink>
      <w:r w:rsidRPr="00084B08">
        <w:rPr>
          <w:rFonts w:asciiTheme="minorBidi" w:hAnsiTheme="minorBidi"/>
          <w:sz w:val="24"/>
          <w:szCs w:val="24"/>
        </w:rPr>
        <w:t>;</w:t>
      </w:r>
    </w:p>
    <w:p w14:paraId="2B8CDD9A" w14:textId="77777777" w:rsidR="009B6E3C" w:rsidRPr="00084B08" w:rsidRDefault="009B6E3C" w:rsidP="00084B08">
      <w:pPr>
        <w:pStyle w:val="ListParagraph"/>
        <w:numPr>
          <w:ilvl w:val="2"/>
          <w:numId w:val="8"/>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The relationship will not compromise our statutory role nor any legal and ethical standards that apply to our statutory and other public </w:t>
      </w:r>
      <w:proofErr w:type="gramStart"/>
      <w:r w:rsidRPr="00084B08">
        <w:rPr>
          <w:rFonts w:asciiTheme="minorBidi" w:hAnsiTheme="minorBidi"/>
          <w:sz w:val="24"/>
          <w:szCs w:val="24"/>
        </w:rPr>
        <w:t>duties;</w:t>
      </w:r>
      <w:proofErr w:type="gramEnd"/>
    </w:p>
    <w:p w14:paraId="0E3573A8" w14:textId="77777777" w:rsidR="009B6E3C" w:rsidRPr="00084B08" w:rsidRDefault="009B6E3C" w:rsidP="00084B08">
      <w:pPr>
        <w:pStyle w:val="ListParagraph"/>
        <w:numPr>
          <w:ilvl w:val="2"/>
          <w:numId w:val="8"/>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The relationship does not present a conflict of interest for Historic England or compromise our integrity and is congruent with our values of being Expert, Constructive and </w:t>
      </w:r>
      <w:proofErr w:type="gramStart"/>
      <w:r w:rsidRPr="00084B08">
        <w:rPr>
          <w:rFonts w:asciiTheme="minorBidi" w:hAnsiTheme="minorBidi"/>
          <w:sz w:val="24"/>
          <w:szCs w:val="24"/>
        </w:rPr>
        <w:t>Championing;</w:t>
      </w:r>
      <w:proofErr w:type="gramEnd"/>
    </w:p>
    <w:p w14:paraId="12A1F2A2" w14:textId="77777777" w:rsidR="009B6E3C" w:rsidRPr="00084B08" w:rsidRDefault="009B6E3C" w:rsidP="00084B08">
      <w:pPr>
        <w:pStyle w:val="ListParagraph"/>
        <w:numPr>
          <w:ilvl w:val="2"/>
          <w:numId w:val="8"/>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The relationship does not present disproportionate risk to Historic England’s </w:t>
      </w:r>
      <w:proofErr w:type="gramStart"/>
      <w:r w:rsidRPr="00084B08">
        <w:rPr>
          <w:rFonts w:asciiTheme="minorBidi" w:hAnsiTheme="minorBidi"/>
          <w:sz w:val="24"/>
          <w:szCs w:val="24"/>
        </w:rPr>
        <w:t>reputation;</w:t>
      </w:r>
      <w:proofErr w:type="gramEnd"/>
    </w:p>
    <w:p w14:paraId="6F4260D5" w14:textId="77777777" w:rsidR="009B6E3C" w:rsidRPr="00084B08" w:rsidRDefault="009B6E3C" w:rsidP="00084B08">
      <w:pPr>
        <w:pStyle w:val="ListParagraph"/>
        <w:numPr>
          <w:ilvl w:val="2"/>
          <w:numId w:val="8"/>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The relationship would provide sufficient benefit to Historic England, in support of its statutory duties and corporate objectives, and without detriment to the wider public interest; this benefit must outweigh any risk of disadvantage to Historic England through the association with the third </w:t>
      </w:r>
      <w:proofErr w:type="gramStart"/>
      <w:r w:rsidRPr="00084B08">
        <w:rPr>
          <w:rFonts w:asciiTheme="minorBidi" w:hAnsiTheme="minorBidi"/>
          <w:sz w:val="24"/>
          <w:szCs w:val="24"/>
        </w:rPr>
        <w:t>party;</w:t>
      </w:r>
      <w:proofErr w:type="gramEnd"/>
    </w:p>
    <w:p w14:paraId="392A269F" w14:textId="50360C74" w:rsidR="009B6E3C" w:rsidRPr="00084B08" w:rsidRDefault="00805D06" w:rsidP="00084B08">
      <w:pPr>
        <w:pStyle w:val="ListParagraph"/>
        <w:numPr>
          <w:ilvl w:val="2"/>
          <w:numId w:val="8"/>
        </w:numPr>
        <w:spacing w:before="240" w:after="60" w:line="240" w:lineRule="auto"/>
        <w:jc w:val="both"/>
        <w:rPr>
          <w:rFonts w:asciiTheme="minorBidi" w:hAnsiTheme="minorBidi"/>
          <w:sz w:val="24"/>
          <w:szCs w:val="24"/>
        </w:rPr>
      </w:pPr>
      <w:r w:rsidRPr="006A35BE">
        <w:rPr>
          <w:rFonts w:asciiTheme="minorBidi" w:hAnsiTheme="minorBidi"/>
          <w:sz w:val="24"/>
          <w:szCs w:val="24"/>
        </w:rPr>
        <w:lastRenderedPageBreak/>
        <w:t xml:space="preserve">Any benefit to the prospective supporter associated with the donation is </w:t>
      </w:r>
      <w:r w:rsidR="001A7830">
        <w:rPr>
          <w:rFonts w:asciiTheme="minorBidi" w:hAnsiTheme="minorBidi"/>
          <w:sz w:val="24"/>
          <w:szCs w:val="24"/>
        </w:rPr>
        <w:t xml:space="preserve">in line with </w:t>
      </w:r>
      <w:r w:rsidR="00C80EA8">
        <w:rPr>
          <w:rFonts w:asciiTheme="minorBidi" w:hAnsiTheme="minorBidi"/>
          <w:sz w:val="24"/>
          <w:szCs w:val="24"/>
        </w:rPr>
        <w:t xml:space="preserve">gift aid benefit rules (if gift aid is to be claimed), does not exceed the financial benefits to Historic England, and is </w:t>
      </w:r>
      <w:r w:rsidRPr="006A35BE">
        <w:rPr>
          <w:rFonts w:asciiTheme="minorBidi" w:hAnsiTheme="minorBidi"/>
          <w:sz w:val="24"/>
          <w:szCs w:val="24"/>
        </w:rPr>
        <w:t>clearly understood and stated (for example, in a gift acceptance agreement, a donation form or a donation receipt confirmation), and no further benefit could be expected or assumed</w:t>
      </w:r>
      <w:r w:rsidR="009B6E3C" w:rsidRPr="00084B08">
        <w:rPr>
          <w:rFonts w:asciiTheme="minorBidi" w:hAnsiTheme="minorBidi"/>
          <w:sz w:val="24"/>
          <w:szCs w:val="24"/>
        </w:rPr>
        <w:t>;</w:t>
      </w:r>
    </w:p>
    <w:p w14:paraId="2664F38E" w14:textId="77777777" w:rsidR="009B6E3C" w:rsidRPr="00084B08" w:rsidRDefault="009B6E3C" w:rsidP="00084B08">
      <w:pPr>
        <w:pStyle w:val="ListParagraph"/>
        <w:numPr>
          <w:ilvl w:val="2"/>
          <w:numId w:val="8"/>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Historic England has satisfactory responses to its enquiries about the identity and background of the prospective supporter. This will include investigating the source of funds </w:t>
      </w:r>
      <w:proofErr w:type="gramStart"/>
      <w:r w:rsidRPr="00084B08">
        <w:rPr>
          <w:rFonts w:asciiTheme="minorBidi" w:hAnsiTheme="minorBidi"/>
          <w:sz w:val="24"/>
          <w:szCs w:val="24"/>
        </w:rPr>
        <w:t>in order to</w:t>
      </w:r>
      <w:proofErr w:type="gramEnd"/>
      <w:r w:rsidRPr="00084B08">
        <w:rPr>
          <w:rFonts w:asciiTheme="minorBidi" w:hAnsiTheme="minorBidi"/>
          <w:sz w:val="24"/>
          <w:szCs w:val="24"/>
        </w:rPr>
        <w:t xml:space="preserve"> comply with the Proceeds of Crime Act 2002, the Bribery Act 2010, and the Money Laundering Regulations 2017.</w:t>
      </w:r>
    </w:p>
    <w:p w14:paraId="09BC4A3B" w14:textId="00987756" w:rsidR="002018F7" w:rsidRPr="00084B08" w:rsidRDefault="002018F7"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Offers of financial support should only be refused in exceptional circumstances. However, Historic England retains the right to refuse a grant, donation or sponsorship where the due diligence research demonstrates that the proposed partnership would </w:t>
      </w:r>
      <w:proofErr w:type="gramStart"/>
      <w:r w:rsidRPr="00084B08">
        <w:rPr>
          <w:rFonts w:asciiTheme="minorBidi" w:hAnsiTheme="minorBidi"/>
          <w:sz w:val="24"/>
          <w:szCs w:val="24"/>
        </w:rPr>
        <w:t>be in conflict with</w:t>
      </w:r>
      <w:proofErr w:type="gramEnd"/>
      <w:r w:rsidRPr="00084B08">
        <w:rPr>
          <w:rFonts w:asciiTheme="minorBidi" w:hAnsiTheme="minorBidi"/>
          <w:sz w:val="24"/>
          <w:szCs w:val="24"/>
        </w:rPr>
        <w:t xml:space="preserve"> our statutory and public duty roles</w:t>
      </w:r>
      <w:r w:rsidR="008F601B">
        <w:rPr>
          <w:rFonts w:asciiTheme="minorBidi" w:hAnsiTheme="minorBidi"/>
          <w:sz w:val="24"/>
          <w:szCs w:val="24"/>
        </w:rPr>
        <w:t xml:space="preserve"> and exceed our risk appetite for fundraising (see the Fundraising Risk Appetite and Due Diligence Policy)</w:t>
      </w:r>
      <w:r w:rsidRPr="00084B08">
        <w:rPr>
          <w:rFonts w:asciiTheme="minorBidi" w:hAnsiTheme="minorBidi"/>
          <w:sz w:val="24"/>
          <w:szCs w:val="24"/>
        </w:rPr>
        <w:t>.</w:t>
      </w:r>
      <w:r w:rsidRPr="00084B08">
        <w:rPr>
          <w:rFonts w:asciiTheme="minorBidi" w:hAnsiTheme="minorBidi"/>
          <w:sz w:val="24"/>
          <w:szCs w:val="24"/>
        </w:rPr>
        <w:br/>
      </w:r>
    </w:p>
    <w:p w14:paraId="564ED7A2" w14:textId="77777777" w:rsidR="002018F7" w:rsidRPr="00084B08" w:rsidRDefault="009B6E3C" w:rsidP="00084B08">
      <w:pPr>
        <w:pStyle w:val="ListParagraph"/>
        <w:spacing w:before="240" w:after="60" w:line="240" w:lineRule="auto"/>
        <w:ind w:left="792"/>
        <w:jc w:val="both"/>
        <w:rPr>
          <w:rFonts w:asciiTheme="minorBidi" w:hAnsiTheme="minorBidi"/>
          <w:sz w:val="24"/>
          <w:szCs w:val="24"/>
        </w:rPr>
      </w:pPr>
      <w:r w:rsidRPr="00084B08">
        <w:rPr>
          <w:rFonts w:asciiTheme="minorBidi" w:hAnsiTheme="minorBidi"/>
          <w:sz w:val="24"/>
          <w:szCs w:val="24"/>
        </w:rPr>
        <w:t>For example, it may be evident that acceptance would:</w:t>
      </w:r>
    </w:p>
    <w:p w14:paraId="1697F750" w14:textId="77777777" w:rsidR="002018F7" w:rsidRPr="00084B08" w:rsidRDefault="002018F7" w:rsidP="00084B08">
      <w:pPr>
        <w:pStyle w:val="ListParagraph"/>
        <w:numPr>
          <w:ilvl w:val="1"/>
          <w:numId w:val="6"/>
        </w:numPr>
        <w:spacing w:before="240" w:after="60" w:line="240" w:lineRule="auto"/>
        <w:ind w:left="1276"/>
        <w:jc w:val="both"/>
        <w:rPr>
          <w:rFonts w:asciiTheme="minorBidi" w:hAnsiTheme="minorBidi"/>
          <w:sz w:val="24"/>
          <w:szCs w:val="24"/>
        </w:rPr>
      </w:pPr>
      <w:r w:rsidRPr="00084B08">
        <w:rPr>
          <w:rFonts w:asciiTheme="minorBidi" w:hAnsiTheme="minorBidi"/>
          <w:sz w:val="24"/>
          <w:szCs w:val="24"/>
        </w:rPr>
        <w:t xml:space="preserve">Lead to the loss of funding from other supporters / funders (including statutory) to the same value or </w:t>
      </w:r>
      <w:proofErr w:type="gramStart"/>
      <w:r w:rsidRPr="00084B08">
        <w:rPr>
          <w:rFonts w:asciiTheme="minorBidi" w:hAnsiTheme="minorBidi"/>
          <w:sz w:val="24"/>
          <w:szCs w:val="24"/>
        </w:rPr>
        <w:t>more;</w:t>
      </w:r>
      <w:proofErr w:type="gramEnd"/>
    </w:p>
    <w:p w14:paraId="13496F4A" w14:textId="77777777" w:rsidR="002018F7" w:rsidRPr="00084B08" w:rsidRDefault="002018F7" w:rsidP="00084B08">
      <w:pPr>
        <w:pStyle w:val="ListParagraph"/>
        <w:numPr>
          <w:ilvl w:val="1"/>
          <w:numId w:val="6"/>
        </w:numPr>
        <w:spacing w:before="240" w:after="60" w:line="240" w:lineRule="auto"/>
        <w:ind w:left="1276"/>
        <w:jc w:val="both"/>
        <w:rPr>
          <w:rFonts w:asciiTheme="minorBidi" w:hAnsiTheme="minorBidi"/>
          <w:sz w:val="24"/>
          <w:szCs w:val="24"/>
        </w:rPr>
      </w:pPr>
      <w:r w:rsidRPr="00084B08">
        <w:rPr>
          <w:rFonts w:asciiTheme="minorBidi" w:hAnsiTheme="minorBidi"/>
          <w:sz w:val="24"/>
          <w:szCs w:val="24"/>
        </w:rPr>
        <w:t xml:space="preserve">Result in the loss of staff or impact on our ability to recruit new </w:t>
      </w:r>
      <w:proofErr w:type="gramStart"/>
      <w:r w:rsidRPr="00084B08">
        <w:rPr>
          <w:rFonts w:asciiTheme="minorBidi" w:hAnsiTheme="minorBidi"/>
          <w:sz w:val="24"/>
          <w:szCs w:val="24"/>
        </w:rPr>
        <w:t>staff;</w:t>
      </w:r>
      <w:proofErr w:type="gramEnd"/>
    </w:p>
    <w:p w14:paraId="432ECAB3" w14:textId="7D54BEE6" w:rsidR="002018F7" w:rsidRDefault="002018F7" w:rsidP="00084B08">
      <w:pPr>
        <w:pStyle w:val="ListParagraph"/>
        <w:numPr>
          <w:ilvl w:val="1"/>
          <w:numId w:val="6"/>
        </w:numPr>
        <w:spacing w:before="240" w:after="60" w:line="240" w:lineRule="auto"/>
        <w:ind w:left="1276"/>
        <w:jc w:val="both"/>
        <w:rPr>
          <w:rFonts w:asciiTheme="minorBidi" w:hAnsiTheme="minorBidi"/>
          <w:sz w:val="24"/>
          <w:szCs w:val="24"/>
        </w:rPr>
      </w:pPr>
      <w:r w:rsidRPr="00084B08">
        <w:rPr>
          <w:rFonts w:asciiTheme="minorBidi" w:hAnsiTheme="minorBidi"/>
          <w:sz w:val="24"/>
          <w:szCs w:val="24"/>
        </w:rPr>
        <w:t>Impact on our ability to make recommendations to Government in relation to planning and listing cases.</w:t>
      </w:r>
    </w:p>
    <w:p w14:paraId="372C6FD2" w14:textId="0421E3D4" w:rsidR="00F96BD4" w:rsidRPr="00084B08" w:rsidRDefault="00CB0EB3" w:rsidP="00084B08">
      <w:pPr>
        <w:pStyle w:val="ListParagraph"/>
        <w:numPr>
          <w:ilvl w:val="1"/>
          <w:numId w:val="6"/>
        </w:numPr>
        <w:spacing w:before="240" w:after="60" w:line="240" w:lineRule="auto"/>
        <w:ind w:left="1276"/>
        <w:jc w:val="both"/>
        <w:rPr>
          <w:rFonts w:asciiTheme="minorBidi" w:hAnsiTheme="minorBidi"/>
          <w:sz w:val="24"/>
          <w:szCs w:val="24"/>
        </w:rPr>
      </w:pPr>
      <w:r>
        <w:rPr>
          <w:rFonts w:asciiTheme="minorBidi" w:hAnsiTheme="minorBidi"/>
          <w:sz w:val="24"/>
          <w:szCs w:val="24"/>
        </w:rPr>
        <w:t>B</w:t>
      </w:r>
      <w:r w:rsidR="00F96BD4">
        <w:rPr>
          <w:rFonts w:asciiTheme="minorBidi" w:hAnsiTheme="minorBidi"/>
          <w:sz w:val="24"/>
          <w:szCs w:val="24"/>
        </w:rPr>
        <w:t xml:space="preserve">e incompatible with </w:t>
      </w:r>
      <w:r w:rsidR="00FC19E9">
        <w:rPr>
          <w:rFonts w:asciiTheme="minorBidi" w:hAnsiTheme="minorBidi"/>
          <w:sz w:val="24"/>
          <w:szCs w:val="24"/>
        </w:rPr>
        <w:t>Historic England’s</w:t>
      </w:r>
      <w:r w:rsidR="00F96BD4">
        <w:rPr>
          <w:rFonts w:asciiTheme="minorBidi" w:hAnsiTheme="minorBidi"/>
          <w:sz w:val="24"/>
          <w:szCs w:val="24"/>
        </w:rPr>
        <w:t xml:space="preserve"> Health and Safety or Safeguarding Policies</w:t>
      </w:r>
      <w:r w:rsidR="00B36C86">
        <w:rPr>
          <w:rFonts w:asciiTheme="minorBidi" w:hAnsiTheme="minorBidi"/>
          <w:sz w:val="24"/>
          <w:szCs w:val="24"/>
        </w:rPr>
        <w:t xml:space="preserve"> (</w:t>
      </w:r>
      <w:r w:rsidR="00B36C86" w:rsidRPr="00B36C86">
        <w:rPr>
          <w:rFonts w:asciiTheme="minorBidi" w:hAnsiTheme="minorBidi"/>
          <w:sz w:val="24"/>
          <w:szCs w:val="24"/>
        </w:rPr>
        <w:t>Consideration should be given to safeguarding and whether interactions with sponsors are appropriate</w:t>
      </w:r>
      <w:r w:rsidR="00B36C86">
        <w:rPr>
          <w:rFonts w:asciiTheme="minorBidi" w:hAnsiTheme="minorBidi"/>
          <w:sz w:val="24"/>
          <w:szCs w:val="24"/>
        </w:rPr>
        <w:t>)</w:t>
      </w:r>
      <w:r w:rsidR="00C216B7">
        <w:rPr>
          <w:rFonts w:asciiTheme="minorBidi" w:hAnsiTheme="minorBidi"/>
          <w:sz w:val="24"/>
          <w:szCs w:val="24"/>
        </w:rPr>
        <w:t>.</w:t>
      </w:r>
    </w:p>
    <w:p w14:paraId="7094DAD8" w14:textId="77777777" w:rsidR="002018F7" w:rsidRPr="00084B08" w:rsidRDefault="002018F7" w:rsidP="00084B08">
      <w:pPr>
        <w:spacing w:before="240" w:after="60" w:line="240" w:lineRule="auto"/>
        <w:contextualSpacing/>
        <w:jc w:val="both"/>
        <w:rPr>
          <w:rFonts w:asciiTheme="minorBidi" w:hAnsiTheme="minorBidi"/>
          <w:sz w:val="24"/>
          <w:szCs w:val="24"/>
        </w:rPr>
      </w:pPr>
    </w:p>
    <w:p w14:paraId="034FF568" w14:textId="77777777" w:rsidR="002018F7" w:rsidRPr="00084B08" w:rsidRDefault="002018F7" w:rsidP="00084B08">
      <w:pPr>
        <w:pStyle w:val="ListParagraph"/>
        <w:numPr>
          <w:ilvl w:val="0"/>
          <w:numId w:val="1"/>
        </w:numPr>
        <w:spacing w:before="240" w:after="60" w:line="240" w:lineRule="auto"/>
        <w:jc w:val="both"/>
        <w:rPr>
          <w:rFonts w:asciiTheme="minorBidi" w:hAnsiTheme="minorBidi"/>
          <w:b/>
          <w:bCs/>
          <w:sz w:val="24"/>
          <w:szCs w:val="24"/>
        </w:rPr>
      </w:pPr>
      <w:r w:rsidRPr="00084B08">
        <w:rPr>
          <w:rFonts w:asciiTheme="minorBidi" w:hAnsiTheme="minorBidi"/>
          <w:b/>
          <w:bCs/>
          <w:sz w:val="24"/>
          <w:szCs w:val="24"/>
        </w:rPr>
        <w:t>Scope</w:t>
      </w:r>
    </w:p>
    <w:p w14:paraId="5E34A557" w14:textId="77777777"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Subject to the exceptions below, this policy applies to all partnerships, associations, sponsorships, significant donations, grants and other contractual relationships that Historic England may become involved with, including donations in-kind (such as time, equipment, facilities, people) and commercial relationships (such as corporate sponsorships, corporate partnerships, and licensing). The policy does not apply to contracts for goods or services at market rates.</w:t>
      </w:r>
    </w:p>
    <w:p w14:paraId="355A464C" w14:textId="77777777"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It applies to relationships with individuals, companies, trusts, and private foundations but not to statutory bodies such as the Heritage Lottery Fund or any UK government support.</w:t>
      </w:r>
    </w:p>
    <w:p w14:paraId="70BBEE99" w14:textId="3C46F3B0"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The principles of the policy should apply to decisions to accept any payments and in-kind donations of any value. Executive Team </w:t>
      </w:r>
      <w:r w:rsidR="0043302D">
        <w:rPr>
          <w:rFonts w:asciiTheme="minorBidi" w:hAnsiTheme="minorBidi"/>
          <w:sz w:val="24"/>
          <w:szCs w:val="24"/>
        </w:rPr>
        <w:t xml:space="preserve">and Historic England Foundation (HEF) Board of Trustees </w:t>
      </w:r>
      <w:r w:rsidRPr="00084B08">
        <w:rPr>
          <w:rFonts w:asciiTheme="minorBidi" w:hAnsiTheme="minorBidi"/>
          <w:sz w:val="24"/>
          <w:szCs w:val="24"/>
        </w:rPr>
        <w:t xml:space="preserve">approval only applies where the supporter’s cumulative giving </w:t>
      </w:r>
      <w:r w:rsidR="00384D1D">
        <w:rPr>
          <w:rFonts w:asciiTheme="minorBidi" w:hAnsiTheme="minorBidi"/>
          <w:sz w:val="24"/>
          <w:szCs w:val="24"/>
        </w:rPr>
        <w:t>is</w:t>
      </w:r>
      <w:r w:rsidR="00384D1D" w:rsidRPr="00084B08">
        <w:rPr>
          <w:rFonts w:asciiTheme="minorBidi" w:hAnsiTheme="minorBidi"/>
          <w:sz w:val="24"/>
          <w:szCs w:val="24"/>
        </w:rPr>
        <w:t xml:space="preserve"> </w:t>
      </w:r>
      <w:r w:rsidRPr="00084B08">
        <w:rPr>
          <w:rFonts w:asciiTheme="minorBidi" w:hAnsiTheme="minorBidi"/>
          <w:sz w:val="24"/>
          <w:szCs w:val="24"/>
        </w:rPr>
        <w:t>£</w:t>
      </w:r>
      <w:r w:rsidR="00E31157">
        <w:rPr>
          <w:rFonts w:asciiTheme="minorBidi" w:hAnsiTheme="minorBidi"/>
          <w:sz w:val="24"/>
          <w:szCs w:val="24"/>
        </w:rPr>
        <w:t>100</w:t>
      </w:r>
      <w:r w:rsidRPr="00084B08">
        <w:rPr>
          <w:rFonts w:asciiTheme="minorBidi" w:hAnsiTheme="minorBidi"/>
          <w:sz w:val="24"/>
          <w:szCs w:val="24"/>
        </w:rPr>
        <w:t>,000</w:t>
      </w:r>
      <w:r w:rsidR="00384D1D">
        <w:rPr>
          <w:rFonts w:asciiTheme="minorBidi" w:hAnsiTheme="minorBidi"/>
          <w:sz w:val="24"/>
          <w:szCs w:val="24"/>
        </w:rPr>
        <w:t xml:space="preserve"> or higher</w:t>
      </w:r>
      <w:r w:rsidRPr="00084B08">
        <w:rPr>
          <w:rFonts w:asciiTheme="minorBidi" w:hAnsiTheme="minorBidi"/>
          <w:sz w:val="24"/>
          <w:szCs w:val="24"/>
        </w:rPr>
        <w:t xml:space="preserve">. </w:t>
      </w:r>
      <w:r w:rsidR="004B0692">
        <w:rPr>
          <w:rFonts w:asciiTheme="minorBidi" w:hAnsiTheme="minorBidi"/>
          <w:sz w:val="24"/>
          <w:szCs w:val="24"/>
        </w:rPr>
        <w:t xml:space="preserve">Cumulative </w:t>
      </w:r>
      <w:r w:rsidR="00384D1D">
        <w:rPr>
          <w:rFonts w:asciiTheme="minorBidi" w:hAnsiTheme="minorBidi"/>
          <w:sz w:val="24"/>
          <w:szCs w:val="24"/>
        </w:rPr>
        <w:t>gifts below £100,000</w:t>
      </w:r>
      <w:r w:rsidRPr="00084B08">
        <w:rPr>
          <w:rFonts w:asciiTheme="minorBidi" w:hAnsiTheme="minorBidi"/>
          <w:sz w:val="24"/>
          <w:szCs w:val="24"/>
        </w:rPr>
        <w:t xml:space="preserve"> will be determined by the </w:t>
      </w:r>
      <w:r w:rsidR="00634071">
        <w:rPr>
          <w:rFonts w:asciiTheme="minorBidi" w:hAnsiTheme="minorBidi"/>
          <w:sz w:val="24"/>
          <w:szCs w:val="24"/>
        </w:rPr>
        <w:t>Development</w:t>
      </w:r>
      <w:r w:rsidR="00737B8F">
        <w:rPr>
          <w:rFonts w:asciiTheme="minorBidi" w:hAnsiTheme="minorBidi"/>
          <w:sz w:val="24"/>
          <w:szCs w:val="24"/>
        </w:rPr>
        <w:t xml:space="preserve"> Director</w:t>
      </w:r>
      <w:r w:rsidR="0033478C">
        <w:rPr>
          <w:rFonts w:asciiTheme="minorBidi" w:hAnsiTheme="minorBidi"/>
          <w:sz w:val="24"/>
          <w:szCs w:val="24"/>
        </w:rPr>
        <w:t>, in consultation with the Director of Strategy and Business Development where appropriate</w:t>
      </w:r>
    </w:p>
    <w:p w14:paraId="6526A52D" w14:textId="3732DF26" w:rsidR="009B6E3C"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This policy does not apply to any collections management activity, including acquisitions, disposals, borrowed or loaned items for exhibition purposes. These activities are governed by their own policies and procedures.</w:t>
      </w:r>
    </w:p>
    <w:p w14:paraId="35A78BCC" w14:textId="17238174" w:rsidR="00084B08" w:rsidRDefault="00084B08" w:rsidP="00084B08">
      <w:pPr>
        <w:spacing w:before="240" w:after="60" w:line="240" w:lineRule="auto"/>
        <w:contextualSpacing/>
        <w:jc w:val="both"/>
        <w:rPr>
          <w:rFonts w:asciiTheme="minorBidi" w:hAnsiTheme="minorBidi"/>
          <w:sz w:val="24"/>
          <w:szCs w:val="24"/>
        </w:rPr>
      </w:pPr>
    </w:p>
    <w:p w14:paraId="638E39C2" w14:textId="77777777" w:rsidR="002018F7" w:rsidRPr="00084B08" w:rsidRDefault="009B6E3C" w:rsidP="00084B08">
      <w:pPr>
        <w:pStyle w:val="ListParagraph"/>
        <w:numPr>
          <w:ilvl w:val="0"/>
          <w:numId w:val="1"/>
        </w:numPr>
        <w:spacing w:before="240" w:after="60" w:line="240" w:lineRule="auto"/>
        <w:jc w:val="both"/>
        <w:rPr>
          <w:rFonts w:asciiTheme="minorBidi" w:hAnsiTheme="minorBidi"/>
          <w:b/>
          <w:bCs/>
          <w:sz w:val="24"/>
          <w:szCs w:val="24"/>
        </w:rPr>
      </w:pPr>
      <w:r w:rsidRPr="00084B08">
        <w:rPr>
          <w:rFonts w:asciiTheme="minorBidi" w:hAnsiTheme="minorBidi"/>
          <w:b/>
          <w:bCs/>
          <w:sz w:val="24"/>
          <w:szCs w:val="24"/>
        </w:rPr>
        <w:t>Procedure</w:t>
      </w:r>
    </w:p>
    <w:p w14:paraId="3E91CD9A" w14:textId="08FF74CB"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Before any contractual commitment</w:t>
      </w:r>
      <w:r w:rsidR="00DD1292">
        <w:rPr>
          <w:rFonts w:asciiTheme="minorBidi" w:hAnsiTheme="minorBidi"/>
          <w:sz w:val="24"/>
          <w:szCs w:val="24"/>
        </w:rPr>
        <w:t xml:space="preserve"> for </w:t>
      </w:r>
      <w:r w:rsidR="00BF3E95">
        <w:rPr>
          <w:rFonts w:asciiTheme="minorBidi" w:hAnsiTheme="minorBidi"/>
          <w:sz w:val="24"/>
          <w:szCs w:val="24"/>
        </w:rPr>
        <w:t xml:space="preserve">cumulative </w:t>
      </w:r>
      <w:r w:rsidR="00DD1292">
        <w:rPr>
          <w:rFonts w:asciiTheme="minorBidi" w:hAnsiTheme="minorBidi"/>
          <w:sz w:val="24"/>
          <w:szCs w:val="24"/>
        </w:rPr>
        <w:t>donations over £1,000</w:t>
      </w:r>
      <w:r w:rsidRPr="00084B08">
        <w:rPr>
          <w:rFonts w:asciiTheme="minorBidi" w:hAnsiTheme="minorBidi"/>
          <w:sz w:val="24"/>
          <w:szCs w:val="24"/>
        </w:rPr>
        <w:t xml:space="preserve"> is entered into by Historic England, the Philanthropy Team will carry out an initial assessment through desktop research using public resources, following the </w:t>
      </w:r>
      <w:r w:rsidR="00DC7652">
        <w:rPr>
          <w:rFonts w:asciiTheme="minorBidi" w:hAnsiTheme="minorBidi"/>
          <w:sz w:val="24"/>
          <w:szCs w:val="24"/>
        </w:rPr>
        <w:t>Risk Appetite and Due Diligence Policy</w:t>
      </w:r>
      <w:r w:rsidR="003979E6">
        <w:rPr>
          <w:rFonts w:asciiTheme="minorBidi" w:hAnsiTheme="minorBidi"/>
          <w:sz w:val="24"/>
          <w:szCs w:val="24"/>
        </w:rPr>
        <w:t xml:space="preserve"> guidelines</w:t>
      </w:r>
      <w:r w:rsidRPr="00084B08">
        <w:rPr>
          <w:rFonts w:asciiTheme="minorBidi" w:hAnsiTheme="minorBidi"/>
          <w:sz w:val="24"/>
          <w:szCs w:val="24"/>
        </w:rPr>
        <w:t xml:space="preserve"> and completing the relevant Due Diligence Checklist.</w:t>
      </w:r>
    </w:p>
    <w:p w14:paraId="2E3C3C92" w14:textId="376001D9"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Additional research will be triggered if</w:t>
      </w:r>
      <w:r w:rsidR="00551E50">
        <w:rPr>
          <w:rFonts w:asciiTheme="minorBidi" w:hAnsiTheme="minorBidi"/>
          <w:sz w:val="24"/>
          <w:szCs w:val="24"/>
        </w:rPr>
        <w:t xml:space="preserve"> the donor’s cumulative donations exceed £100,000, or</w:t>
      </w:r>
      <w:r w:rsidRPr="00084B08">
        <w:rPr>
          <w:rFonts w:asciiTheme="minorBidi" w:hAnsiTheme="minorBidi"/>
          <w:sz w:val="24"/>
          <w:szCs w:val="24"/>
        </w:rPr>
        <w:t xml:space="preserve"> the initial assessment indicates any areas for concern.</w:t>
      </w:r>
      <w:r w:rsidR="003979E6">
        <w:rPr>
          <w:rFonts w:asciiTheme="minorBidi" w:hAnsiTheme="minorBidi"/>
          <w:sz w:val="24"/>
          <w:szCs w:val="24"/>
        </w:rPr>
        <w:t xml:space="preserve"> External research will be commissioned on cumulative donations of £1,000,000</w:t>
      </w:r>
      <w:r w:rsidR="00282681">
        <w:rPr>
          <w:rFonts w:asciiTheme="minorBidi" w:hAnsiTheme="minorBidi"/>
          <w:sz w:val="24"/>
          <w:szCs w:val="24"/>
        </w:rPr>
        <w:t xml:space="preserve"> or more</w:t>
      </w:r>
      <w:r w:rsidR="003979E6">
        <w:rPr>
          <w:rFonts w:asciiTheme="minorBidi" w:hAnsiTheme="minorBidi"/>
          <w:sz w:val="24"/>
          <w:szCs w:val="24"/>
        </w:rPr>
        <w:t>.</w:t>
      </w:r>
    </w:p>
    <w:p w14:paraId="4541C450" w14:textId="4B3038A8"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The results of both the in-house research and any additional due diligence research will be considered by the </w:t>
      </w:r>
      <w:r w:rsidR="00282681">
        <w:rPr>
          <w:rFonts w:asciiTheme="minorBidi" w:hAnsiTheme="minorBidi"/>
          <w:sz w:val="24"/>
          <w:szCs w:val="24"/>
        </w:rPr>
        <w:t>Development Director</w:t>
      </w:r>
      <w:r w:rsidRPr="00084B08">
        <w:rPr>
          <w:rFonts w:asciiTheme="minorBidi" w:hAnsiTheme="minorBidi"/>
          <w:sz w:val="24"/>
          <w:szCs w:val="24"/>
        </w:rPr>
        <w:t xml:space="preserve"> who will seek advice as required from colleagues, depending on the nature of the risk identified.</w:t>
      </w:r>
    </w:p>
    <w:p w14:paraId="52050E6F" w14:textId="0819170C"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All prospective supporters with a proposed gift level of over £</w:t>
      </w:r>
      <w:r w:rsidR="00282681">
        <w:rPr>
          <w:rFonts w:asciiTheme="minorBidi" w:hAnsiTheme="minorBidi"/>
          <w:sz w:val="24"/>
          <w:szCs w:val="24"/>
        </w:rPr>
        <w:t>100</w:t>
      </w:r>
      <w:r w:rsidRPr="00084B08">
        <w:rPr>
          <w:rFonts w:asciiTheme="minorBidi" w:hAnsiTheme="minorBidi"/>
          <w:sz w:val="24"/>
          <w:szCs w:val="24"/>
        </w:rPr>
        <w:t>,000</w:t>
      </w:r>
      <w:r w:rsidR="004337C6">
        <w:rPr>
          <w:rFonts w:asciiTheme="minorBidi" w:hAnsiTheme="minorBidi"/>
          <w:sz w:val="24"/>
          <w:szCs w:val="24"/>
        </w:rPr>
        <w:t xml:space="preserve"> </w:t>
      </w:r>
      <w:r w:rsidRPr="00084B08">
        <w:rPr>
          <w:rFonts w:asciiTheme="minorBidi" w:hAnsiTheme="minorBidi"/>
          <w:sz w:val="24"/>
          <w:szCs w:val="24"/>
        </w:rPr>
        <w:t xml:space="preserve">will be presented to Executive Team </w:t>
      </w:r>
      <w:r w:rsidR="004337C6">
        <w:rPr>
          <w:rFonts w:asciiTheme="minorBidi" w:hAnsiTheme="minorBidi"/>
          <w:sz w:val="24"/>
          <w:szCs w:val="24"/>
        </w:rPr>
        <w:t xml:space="preserve">and HEF Trustees </w:t>
      </w:r>
      <w:r w:rsidRPr="00084B08">
        <w:rPr>
          <w:rFonts w:asciiTheme="minorBidi" w:hAnsiTheme="minorBidi"/>
          <w:sz w:val="24"/>
          <w:szCs w:val="24"/>
        </w:rPr>
        <w:t>for consideration. The risk of the partnership will be classified as high, medium or low based on the inherent nature of the business practice, public perception of the prospective supporter and Historic England’s statutory responsibilities.</w:t>
      </w:r>
    </w:p>
    <w:p w14:paraId="67714F03" w14:textId="22D08035" w:rsidR="002018F7" w:rsidRPr="00084B08" w:rsidRDefault="005B2591" w:rsidP="00084B08">
      <w:pPr>
        <w:pStyle w:val="ListParagraph"/>
        <w:numPr>
          <w:ilvl w:val="1"/>
          <w:numId w:val="1"/>
        </w:numPr>
        <w:spacing w:before="240" w:after="60" w:line="240" w:lineRule="auto"/>
        <w:jc w:val="both"/>
        <w:rPr>
          <w:rFonts w:asciiTheme="minorBidi" w:hAnsiTheme="minorBidi"/>
          <w:sz w:val="24"/>
          <w:szCs w:val="24"/>
        </w:rPr>
      </w:pPr>
      <w:r>
        <w:rPr>
          <w:rFonts w:asciiTheme="minorBidi" w:hAnsiTheme="minorBidi"/>
          <w:sz w:val="24"/>
          <w:szCs w:val="24"/>
        </w:rPr>
        <w:t xml:space="preserve">Executive Team decisions </w:t>
      </w:r>
      <w:r w:rsidR="007E07F8">
        <w:rPr>
          <w:rFonts w:asciiTheme="minorBidi" w:hAnsiTheme="minorBidi"/>
          <w:sz w:val="24"/>
          <w:szCs w:val="24"/>
        </w:rPr>
        <w:t xml:space="preserve">to accept donations deemed as high risk </w:t>
      </w:r>
      <w:r>
        <w:rPr>
          <w:rFonts w:asciiTheme="minorBidi" w:hAnsiTheme="minorBidi"/>
          <w:sz w:val="24"/>
          <w:szCs w:val="24"/>
        </w:rPr>
        <w:t>will be reported to Business and Finance Committee</w:t>
      </w:r>
      <w:r w:rsidR="00977DEA">
        <w:rPr>
          <w:rFonts w:asciiTheme="minorBidi" w:hAnsiTheme="minorBidi"/>
          <w:sz w:val="24"/>
          <w:szCs w:val="24"/>
        </w:rPr>
        <w:t>.</w:t>
      </w:r>
    </w:p>
    <w:p w14:paraId="3F341264" w14:textId="514D3ABB"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Medium risk potential partnerships (and approved high risk partnerships) will undergo a risk mitigation exercise involving the Philanthropy Team, project / programme delivery teams and other expert as required.</w:t>
      </w:r>
    </w:p>
    <w:p w14:paraId="1AD3082E" w14:textId="77777777" w:rsidR="00084B08" w:rsidRPr="00084B08" w:rsidRDefault="00084B08" w:rsidP="00084B08">
      <w:pPr>
        <w:spacing w:before="240" w:after="60" w:line="240" w:lineRule="auto"/>
        <w:contextualSpacing/>
        <w:jc w:val="both"/>
        <w:rPr>
          <w:rFonts w:asciiTheme="minorBidi" w:hAnsiTheme="minorBidi"/>
          <w:sz w:val="24"/>
          <w:szCs w:val="24"/>
        </w:rPr>
      </w:pPr>
    </w:p>
    <w:p w14:paraId="6415CC4A" w14:textId="77777777" w:rsidR="002018F7" w:rsidRPr="00084B08" w:rsidRDefault="009B6E3C" w:rsidP="00084B08">
      <w:pPr>
        <w:pStyle w:val="ListParagraph"/>
        <w:numPr>
          <w:ilvl w:val="0"/>
          <w:numId w:val="1"/>
        </w:numPr>
        <w:spacing w:before="240" w:after="60" w:line="240" w:lineRule="auto"/>
        <w:jc w:val="both"/>
        <w:rPr>
          <w:rFonts w:asciiTheme="minorBidi" w:hAnsiTheme="minorBidi"/>
          <w:b/>
          <w:bCs/>
          <w:sz w:val="24"/>
          <w:szCs w:val="24"/>
        </w:rPr>
      </w:pPr>
      <w:r w:rsidRPr="00084B08">
        <w:rPr>
          <w:rFonts w:asciiTheme="minorBidi" w:hAnsiTheme="minorBidi"/>
          <w:b/>
          <w:bCs/>
          <w:sz w:val="24"/>
          <w:szCs w:val="24"/>
        </w:rPr>
        <w:t>Conditions</w:t>
      </w:r>
    </w:p>
    <w:p w14:paraId="6528E2CB" w14:textId="77777777" w:rsidR="002018F7"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Historic England will reserve the right to withdraw from any relationship if:</w:t>
      </w:r>
    </w:p>
    <w:p w14:paraId="5C003341" w14:textId="77777777" w:rsidR="002018F7" w:rsidRPr="00084B08" w:rsidRDefault="009B6E3C" w:rsidP="00084B08">
      <w:pPr>
        <w:pStyle w:val="ListParagraph"/>
        <w:numPr>
          <w:ilvl w:val="2"/>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It becomes apparent that information given to Historic England with regards to the supporter’s position was misleading in a way that materially affects our assessment of their suitability under this policy.</w:t>
      </w:r>
    </w:p>
    <w:p w14:paraId="555B9F83" w14:textId="53F7F2C3" w:rsidR="009B6E3C" w:rsidRPr="00084B08" w:rsidRDefault="009B6E3C" w:rsidP="00084B08">
      <w:pPr>
        <w:pStyle w:val="ListParagraph"/>
        <w:numPr>
          <w:ilvl w:val="2"/>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As a result of the supporter’s actions </w:t>
      </w:r>
      <w:proofErr w:type="gramStart"/>
      <w:r w:rsidRPr="00084B08">
        <w:rPr>
          <w:rFonts w:asciiTheme="minorBidi" w:hAnsiTheme="minorBidi"/>
          <w:sz w:val="24"/>
          <w:szCs w:val="24"/>
        </w:rPr>
        <w:t>subsequent to</w:t>
      </w:r>
      <w:proofErr w:type="gramEnd"/>
      <w:r w:rsidRPr="00084B08">
        <w:rPr>
          <w:rFonts w:asciiTheme="minorBidi" w:hAnsiTheme="minorBidi"/>
          <w:sz w:val="24"/>
          <w:szCs w:val="24"/>
        </w:rPr>
        <w:t xml:space="preserve"> </w:t>
      </w:r>
      <w:proofErr w:type="gramStart"/>
      <w:r w:rsidRPr="00084B08">
        <w:rPr>
          <w:rFonts w:asciiTheme="minorBidi" w:hAnsiTheme="minorBidi"/>
          <w:sz w:val="24"/>
          <w:szCs w:val="24"/>
        </w:rPr>
        <w:t>entering into</w:t>
      </w:r>
      <w:proofErr w:type="gramEnd"/>
      <w:r w:rsidRPr="00084B08">
        <w:rPr>
          <w:rFonts w:asciiTheme="minorBidi" w:hAnsiTheme="minorBidi"/>
          <w:sz w:val="24"/>
          <w:szCs w:val="24"/>
        </w:rPr>
        <w:t xml:space="preserve"> the relationship, other stakeholders or funders withdraw their support.</w:t>
      </w:r>
    </w:p>
    <w:p w14:paraId="6A2914A7" w14:textId="77777777" w:rsidR="00084B08" w:rsidRPr="00084B08" w:rsidRDefault="00084B08" w:rsidP="00084B08">
      <w:pPr>
        <w:spacing w:before="240" w:after="60" w:line="240" w:lineRule="auto"/>
        <w:contextualSpacing/>
        <w:jc w:val="both"/>
        <w:rPr>
          <w:rFonts w:asciiTheme="minorBidi" w:hAnsiTheme="minorBidi"/>
          <w:sz w:val="24"/>
          <w:szCs w:val="24"/>
        </w:rPr>
      </w:pPr>
    </w:p>
    <w:p w14:paraId="2792BBE7" w14:textId="77777777" w:rsidR="002018F7" w:rsidRPr="00084B08" w:rsidRDefault="009B6E3C" w:rsidP="00084B08">
      <w:pPr>
        <w:pStyle w:val="ListParagraph"/>
        <w:numPr>
          <w:ilvl w:val="0"/>
          <w:numId w:val="1"/>
        </w:numPr>
        <w:spacing w:before="240" w:after="60" w:line="240" w:lineRule="auto"/>
        <w:jc w:val="both"/>
        <w:rPr>
          <w:rFonts w:asciiTheme="minorBidi" w:hAnsiTheme="minorBidi"/>
          <w:b/>
          <w:bCs/>
          <w:sz w:val="24"/>
          <w:szCs w:val="24"/>
        </w:rPr>
      </w:pPr>
      <w:r w:rsidRPr="00084B08">
        <w:rPr>
          <w:rFonts w:asciiTheme="minorBidi" w:hAnsiTheme="minorBidi"/>
          <w:b/>
          <w:bCs/>
          <w:sz w:val="24"/>
          <w:szCs w:val="24"/>
        </w:rPr>
        <w:t>Transparency</w:t>
      </w:r>
    </w:p>
    <w:p w14:paraId="7FE3825A" w14:textId="33D332F8" w:rsidR="009B6E3C" w:rsidRPr="00084B08" w:rsidRDefault="009B6E3C" w:rsidP="00084B08">
      <w:pPr>
        <w:pStyle w:val="ListParagraph"/>
        <w:numPr>
          <w:ilvl w:val="1"/>
          <w:numId w:val="1"/>
        </w:numPr>
        <w:spacing w:before="240" w:after="60" w:line="240" w:lineRule="auto"/>
        <w:jc w:val="both"/>
        <w:rPr>
          <w:rFonts w:asciiTheme="minorBidi" w:hAnsiTheme="minorBidi"/>
          <w:sz w:val="24"/>
          <w:szCs w:val="24"/>
        </w:rPr>
      </w:pPr>
      <w:r w:rsidRPr="00084B08">
        <w:rPr>
          <w:rFonts w:asciiTheme="minorBidi" w:hAnsiTheme="minorBidi"/>
          <w:sz w:val="24"/>
          <w:szCs w:val="24"/>
        </w:rPr>
        <w:t xml:space="preserve">A full list of supporters giving over £1,000 in a particular financial year will be maintained on the Historic England </w:t>
      </w:r>
      <w:r w:rsidR="00CD79D6">
        <w:rPr>
          <w:rFonts w:asciiTheme="minorBidi" w:hAnsiTheme="minorBidi"/>
          <w:sz w:val="24"/>
          <w:szCs w:val="24"/>
        </w:rPr>
        <w:t xml:space="preserve">Foundation </w:t>
      </w:r>
      <w:r w:rsidRPr="00084B08">
        <w:rPr>
          <w:rFonts w:asciiTheme="minorBidi" w:hAnsiTheme="minorBidi"/>
          <w:sz w:val="24"/>
          <w:szCs w:val="24"/>
        </w:rPr>
        <w:t xml:space="preserve">website and in </w:t>
      </w:r>
      <w:r w:rsidR="00CD79D6">
        <w:rPr>
          <w:rFonts w:asciiTheme="minorBidi" w:hAnsiTheme="minorBidi"/>
          <w:sz w:val="24"/>
          <w:szCs w:val="24"/>
        </w:rPr>
        <w:t>Historic England</w:t>
      </w:r>
      <w:r w:rsidR="00CD79D6" w:rsidRPr="00084B08">
        <w:rPr>
          <w:rFonts w:asciiTheme="minorBidi" w:hAnsiTheme="minorBidi"/>
          <w:sz w:val="24"/>
          <w:szCs w:val="24"/>
        </w:rPr>
        <w:t xml:space="preserve"> </w:t>
      </w:r>
      <w:r w:rsidRPr="00084B08">
        <w:rPr>
          <w:rFonts w:asciiTheme="minorBidi" w:hAnsiTheme="minorBidi"/>
          <w:sz w:val="24"/>
          <w:szCs w:val="24"/>
        </w:rPr>
        <w:t>Annual Accounts unless anonymity is requested.</w:t>
      </w:r>
    </w:p>
    <w:p w14:paraId="158D8F7C" w14:textId="77777777" w:rsidR="00F22417" w:rsidRDefault="00F22417" w:rsidP="00084B08">
      <w:pPr>
        <w:spacing w:before="240" w:after="60" w:line="240" w:lineRule="auto"/>
        <w:contextualSpacing/>
        <w:jc w:val="both"/>
        <w:rPr>
          <w:rFonts w:asciiTheme="minorBidi" w:hAnsiTheme="minorBidi"/>
          <w:sz w:val="24"/>
          <w:szCs w:val="24"/>
        </w:rPr>
      </w:pPr>
    </w:p>
    <w:p w14:paraId="3C111C64" w14:textId="777B0C0E" w:rsidR="00F22417" w:rsidRDefault="00F22417" w:rsidP="00084B08">
      <w:pPr>
        <w:spacing w:before="240" w:after="60" w:line="240" w:lineRule="auto"/>
        <w:contextualSpacing/>
        <w:jc w:val="both"/>
        <w:rPr>
          <w:rFonts w:asciiTheme="minorBidi" w:hAnsiTheme="minorBidi"/>
          <w:sz w:val="24"/>
          <w:szCs w:val="24"/>
        </w:rPr>
      </w:pPr>
    </w:p>
    <w:p w14:paraId="468A6C39" w14:textId="4766995A" w:rsidR="00F22417" w:rsidRDefault="00F22417">
      <w:pPr>
        <w:rPr>
          <w:rFonts w:asciiTheme="minorBidi" w:hAnsiTheme="minorBidi"/>
          <w:sz w:val="24"/>
          <w:szCs w:val="24"/>
        </w:rPr>
      </w:pPr>
      <w:r>
        <w:rPr>
          <w:rFonts w:asciiTheme="minorBidi" w:hAnsiTheme="minorBidi"/>
          <w:sz w:val="24"/>
          <w:szCs w:val="24"/>
        </w:rPr>
        <w:br w:type="page"/>
      </w:r>
    </w:p>
    <w:p w14:paraId="554DC6DA" w14:textId="77777777" w:rsidR="00F22417" w:rsidRDefault="00F22417" w:rsidP="00F22417">
      <w:pPr>
        <w:spacing w:before="240" w:after="60" w:line="240" w:lineRule="auto"/>
        <w:contextualSpacing/>
        <w:jc w:val="both"/>
        <w:rPr>
          <w:rFonts w:asciiTheme="minorBidi" w:hAnsiTheme="minorBidi"/>
          <w:b/>
          <w:bCs/>
          <w:sz w:val="24"/>
          <w:szCs w:val="24"/>
        </w:rPr>
      </w:pPr>
    </w:p>
    <w:p w14:paraId="03F5C997" w14:textId="32AA961E" w:rsidR="00F22417" w:rsidRPr="00F22417" w:rsidRDefault="00F22417" w:rsidP="00F22417">
      <w:pPr>
        <w:spacing w:before="240" w:after="60" w:line="240" w:lineRule="auto"/>
        <w:contextualSpacing/>
        <w:jc w:val="both"/>
        <w:rPr>
          <w:rFonts w:asciiTheme="minorBidi" w:hAnsiTheme="minorBidi"/>
          <w:b/>
          <w:bCs/>
          <w:sz w:val="24"/>
          <w:szCs w:val="24"/>
        </w:rPr>
      </w:pPr>
      <w:r w:rsidRPr="00F22417">
        <w:rPr>
          <w:rFonts w:asciiTheme="minorBidi" w:hAnsiTheme="minorBidi"/>
          <w:b/>
          <w:bCs/>
          <w:sz w:val="24"/>
          <w:szCs w:val="24"/>
        </w:rPr>
        <w:t xml:space="preserve">Appendix 1 – Nolan’s </w:t>
      </w:r>
      <w:r>
        <w:rPr>
          <w:rFonts w:asciiTheme="minorBidi" w:hAnsiTheme="minorBidi"/>
          <w:b/>
          <w:bCs/>
          <w:sz w:val="24"/>
          <w:szCs w:val="24"/>
        </w:rPr>
        <w:t>Seven</w:t>
      </w:r>
      <w:r w:rsidRPr="00F22417">
        <w:rPr>
          <w:rFonts w:asciiTheme="minorBidi" w:hAnsiTheme="minorBidi"/>
          <w:b/>
          <w:bCs/>
          <w:sz w:val="24"/>
          <w:szCs w:val="24"/>
        </w:rPr>
        <w:t xml:space="preserve"> Principles of Public Life</w:t>
      </w:r>
    </w:p>
    <w:p w14:paraId="07434BA0" w14:textId="77777777" w:rsidR="00F22417" w:rsidRPr="00F22417" w:rsidRDefault="00F22417" w:rsidP="00F22417">
      <w:pPr>
        <w:spacing w:before="240" w:after="60" w:line="240" w:lineRule="auto"/>
        <w:contextualSpacing/>
        <w:jc w:val="both"/>
        <w:rPr>
          <w:rFonts w:asciiTheme="minorBidi" w:hAnsiTheme="minorBidi"/>
          <w:sz w:val="24"/>
          <w:szCs w:val="24"/>
        </w:rPr>
      </w:pPr>
    </w:p>
    <w:p w14:paraId="3BB8DB38" w14:textId="77777777" w:rsidR="00F22417" w:rsidRPr="00F22417" w:rsidRDefault="00F22417" w:rsidP="00F22417">
      <w:pPr>
        <w:spacing w:before="240" w:after="60" w:line="240" w:lineRule="auto"/>
        <w:contextualSpacing/>
        <w:jc w:val="both"/>
        <w:rPr>
          <w:rFonts w:asciiTheme="minorBidi" w:hAnsiTheme="minorBidi"/>
          <w:b/>
          <w:bCs/>
          <w:sz w:val="24"/>
          <w:szCs w:val="24"/>
        </w:rPr>
      </w:pPr>
      <w:r w:rsidRPr="00F22417">
        <w:rPr>
          <w:rFonts w:asciiTheme="minorBidi" w:hAnsiTheme="minorBidi"/>
          <w:b/>
          <w:bCs/>
          <w:sz w:val="24"/>
          <w:szCs w:val="24"/>
        </w:rPr>
        <w:t>Selflessness</w:t>
      </w:r>
    </w:p>
    <w:p w14:paraId="3DBEBF9F" w14:textId="77777777" w:rsidR="00F22417" w:rsidRPr="00F22417" w:rsidRDefault="00F22417" w:rsidP="00F22417">
      <w:pPr>
        <w:spacing w:before="240" w:after="60" w:line="240" w:lineRule="auto"/>
        <w:contextualSpacing/>
        <w:jc w:val="both"/>
        <w:rPr>
          <w:rFonts w:asciiTheme="minorBidi" w:hAnsiTheme="minorBidi"/>
          <w:sz w:val="24"/>
          <w:szCs w:val="24"/>
        </w:rPr>
      </w:pPr>
      <w:r w:rsidRPr="00F22417">
        <w:rPr>
          <w:rFonts w:asciiTheme="minorBidi" w:hAnsiTheme="minorBidi"/>
          <w:sz w:val="24"/>
          <w:szCs w:val="24"/>
        </w:rPr>
        <w:t>Holders of public office should act solely in terms of the public interest.</w:t>
      </w:r>
    </w:p>
    <w:p w14:paraId="67FCE0B8" w14:textId="77777777" w:rsidR="00F22417" w:rsidRDefault="00F22417" w:rsidP="00F22417">
      <w:pPr>
        <w:spacing w:before="240" w:after="60" w:line="240" w:lineRule="auto"/>
        <w:contextualSpacing/>
        <w:jc w:val="both"/>
        <w:rPr>
          <w:rFonts w:asciiTheme="minorBidi" w:hAnsiTheme="minorBidi"/>
          <w:sz w:val="24"/>
          <w:szCs w:val="24"/>
        </w:rPr>
      </w:pPr>
    </w:p>
    <w:p w14:paraId="59CA0D27" w14:textId="6F2B377E" w:rsidR="00F22417" w:rsidRPr="00F22417" w:rsidRDefault="00F22417" w:rsidP="00F22417">
      <w:pPr>
        <w:spacing w:before="240" w:after="60" w:line="240" w:lineRule="auto"/>
        <w:contextualSpacing/>
        <w:jc w:val="both"/>
        <w:rPr>
          <w:rFonts w:asciiTheme="minorBidi" w:hAnsiTheme="minorBidi"/>
          <w:b/>
          <w:bCs/>
          <w:sz w:val="24"/>
          <w:szCs w:val="24"/>
        </w:rPr>
      </w:pPr>
      <w:r w:rsidRPr="00F22417">
        <w:rPr>
          <w:rFonts w:asciiTheme="minorBidi" w:hAnsiTheme="minorBidi"/>
          <w:b/>
          <w:bCs/>
          <w:sz w:val="24"/>
          <w:szCs w:val="24"/>
        </w:rPr>
        <w:t>Integrity</w:t>
      </w:r>
    </w:p>
    <w:p w14:paraId="5A531F73" w14:textId="2F16B6B3" w:rsidR="00F22417" w:rsidRPr="00F22417" w:rsidRDefault="00F22417" w:rsidP="00F22417">
      <w:pPr>
        <w:spacing w:before="240" w:after="60" w:line="240" w:lineRule="auto"/>
        <w:contextualSpacing/>
        <w:jc w:val="both"/>
        <w:rPr>
          <w:rFonts w:asciiTheme="minorBidi" w:hAnsiTheme="minorBidi"/>
          <w:sz w:val="24"/>
          <w:szCs w:val="24"/>
        </w:rPr>
      </w:pPr>
      <w:r w:rsidRPr="00F22417">
        <w:rPr>
          <w:rFonts w:asciiTheme="minorBidi" w:hAnsiTheme="minorBidi"/>
          <w:sz w:val="24"/>
          <w:szCs w:val="24"/>
        </w:rPr>
        <w:t>Holders of public office must avoid placing themselves under any obligation to people or</w:t>
      </w:r>
      <w:r>
        <w:rPr>
          <w:rFonts w:asciiTheme="minorBidi" w:hAnsiTheme="minorBidi"/>
          <w:sz w:val="24"/>
          <w:szCs w:val="24"/>
        </w:rPr>
        <w:t xml:space="preserve"> </w:t>
      </w:r>
      <w:r w:rsidRPr="00F22417">
        <w:rPr>
          <w:rFonts w:asciiTheme="minorBidi" w:hAnsiTheme="minorBidi"/>
          <w:sz w:val="24"/>
          <w:szCs w:val="24"/>
        </w:rPr>
        <w:t>organisations that might try inappropriately to influence them in their work. They should not</w:t>
      </w:r>
      <w:r>
        <w:rPr>
          <w:rFonts w:asciiTheme="minorBidi" w:hAnsiTheme="minorBidi"/>
          <w:sz w:val="24"/>
          <w:szCs w:val="24"/>
        </w:rPr>
        <w:t xml:space="preserve"> </w:t>
      </w:r>
      <w:r w:rsidRPr="00F22417">
        <w:rPr>
          <w:rFonts w:asciiTheme="minorBidi" w:hAnsiTheme="minorBidi"/>
          <w:sz w:val="24"/>
          <w:szCs w:val="24"/>
        </w:rPr>
        <w:t xml:space="preserve">act or take decisions </w:t>
      </w:r>
      <w:proofErr w:type="gramStart"/>
      <w:r w:rsidRPr="00F22417">
        <w:rPr>
          <w:rFonts w:asciiTheme="minorBidi" w:hAnsiTheme="minorBidi"/>
          <w:sz w:val="24"/>
          <w:szCs w:val="24"/>
        </w:rPr>
        <w:t>in order to</w:t>
      </w:r>
      <w:proofErr w:type="gramEnd"/>
      <w:r w:rsidRPr="00F22417">
        <w:rPr>
          <w:rFonts w:asciiTheme="minorBidi" w:hAnsiTheme="minorBidi"/>
          <w:sz w:val="24"/>
          <w:szCs w:val="24"/>
        </w:rPr>
        <w:t xml:space="preserve"> gain financial or other material benefits for themselves</w:t>
      </w:r>
      <w:r>
        <w:rPr>
          <w:rFonts w:asciiTheme="minorBidi" w:hAnsiTheme="minorBidi"/>
          <w:sz w:val="24"/>
          <w:szCs w:val="24"/>
        </w:rPr>
        <w:t xml:space="preserve"> </w:t>
      </w:r>
      <w:r w:rsidRPr="00F22417">
        <w:rPr>
          <w:rFonts w:asciiTheme="minorBidi" w:hAnsiTheme="minorBidi"/>
          <w:sz w:val="24"/>
          <w:szCs w:val="24"/>
        </w:rPr>
        <w:t>their family, or their friends. They must declare and resolve any interests and relationships.</w:t>
      </w:r>
    </w:p>
    <w:p w14:paraId="61DCC922" w14:textId="77777777" w:rsidR="00F22417" w:rsidRDefault="00F22417" w:rsidP="00F22417">
      <w:pPr>
        <w:spacing w:before="240" w:after="60" w:line="240" w:lineRule="auto"/>
        <w:contextualSpacing/>
        <w:jc w:val="both"/>
        <w:rPr>
          <w:rFonts w:asciiTheme="minorBidi" w:hAnsiTheme="minorBidi"/>
          <w:sz w:val="24"/>
          <w:szCs w:val="24"/>
        </w:rPr>
      </w:pPr>
    </w:p>
    <w:p w14:paraId="41EA65E1" w14:textId="156BC121" w:rsidR="00F22417" w:rsidRPr="00F22417" w:rsidRDefault="00F22417" w:rsidP="00F22417">
      <w:pPr>
        <w:spacing w:before="240" w:after="60" w:line="240" w:lineRule="auto"/>
        <w:contextualSpacing/>
        <w:jc w:val="both"/>
        <w:rPr>
          <w:rFonts w:asciiTheme="minorBidi" w:hAnsiTheme="minorBidi"/>
          <w:b/>
          <w:bCs/>
          <w:sz w:val="24"/>
          <w:szCs w:val="24"/>
        </w:rPr>
      </w:pPr>
      <w:r w:rsidRPr="00F22417">
        <w:rPr>
          <w:rFonts w:asciiTheme="minorBidi" w:hAnsiTheme="minorBidi"/>
          <w:b/>
          <w:bCs/>
          <w:sz w:val="24"/>
          <w:szCs w:val="24"/>
        </w:rPr>
        <w:t>Objectivity</w:t>
      </w:r>
    </w:p>
    <w:p w14:paraId="0CD1FD94" w14:textId="581D926E" w:rsidR="00F22417" w:rsidRPr="00F22417" w:rsidRDefault="00F22417" w:rsidP="00F22417">
      <w:pPr>
        <w:spacing w:before="240" w:after="60" w:line="240" w:lineRule="auto"/>
        <w:contextualSpacing/>
        <w:jc w:val="both"/>
        <w:rPr>
          <w:rFonts w:asciiTheme="minorBidi" w:hAnsiTheme="minorBidi"/>
          <w:sz w:val="24"/>
          <w:szCs w:val="24"/>
        </w:rPr>
      </w:pPr>
      <w:r w:rsidRPr="00F22417">
        <w:rPr>
          <w:rFonts w:asciiTheme="minorBidi" w:hAnsiTheme="minorBidi"/>
          <w:sz w:val="24"/>
          <w:szCs w:val="24"/>
        </w:rPr>
        <w:t>Holders of public office must act and take decisions impartially, fairly and on merit, using</w:t>
      </w:r>
      <w:r>
        <w:rPr>
          <w:rFonts w:asciiTheme="minorBidi" w:hAnsiTheme="minorBidi"/>
          <w:sz w:val="24"/>
          <w:szCs w:val="24"/>
        </w:rPr>
        <w:t xml:space="preserve"> </w:t>
      </w:r>
      <w:r w:rsidRPr="00F22417">
        <w:rPr>
          <w:rFonts w:asciiTheme="minorBidi" w:hAnsiTheme="minorBidi"/>
          <w:sz w:val="24"/>
          <w:szCs w:val="24"/>
        </w:rPr>
        <w:t>the best evidence and without discrimination or bias.</w:t>
      </w:r>
    </w:p>
    <w:p w14:paraId="45052405" w14:textId="77777777" w:rsidR="00F22417" w:rsidRDefault="00F22417" w:rsidP="00F22417">
      <w:pPr>
        <w:spacing w:before="240" w:after="60" w:line="240" w:lineRule="auto"/>
        <w:contextualSpacing/>
        <w:jc w:val="both"/>
        <w:rPr>
          <w:rFonts w:asciiTheme="minorBidi" w:hAnsiTheme="minorBidi"/>
          <w:sz w:val="24"/>
          <w:szCs w:val="24"/>
        </w:rPr>
      </w:pPr>
    </w:p>
    <w:p w14:paraId="6EF9DA93" w14:textId="018777A2" w:rsidR="00F22417" w:rsidRPr="00F22417" w:rsidRDefault="00F22417" w:rsidP="00F22417">
      <w:pPr>
        <w:spacing w:before="240" w:after="60" w:line="240" w:lineRule="auto"/>
        <w:contextualSpacing/>
        <w:jc w:val="both"/>
        <w:rPr>
          <w:rFonts w:asciiTheme="minorBidi" w:hAnsiTheme="minorBidi"/>
          <w:b/>
          <w:bCs/>
          <w:sz w:val="24"/>
          <w:szCs w:val="24"/>
        </w:rPr>
      </w:pPr>
      <w:r w:rsidRPr="00F22417">
        <w:rPr>
          <w:rFonts w:asciiTheme="minorBidi" w:hAnsiTheme="minorBidi"/>
          <w:b/>
          <w:bCs/>
          <w:sz w:val="24"/>
          <w:szCs w:val="24"/>
        </w:rPr>
        <w:t>Accountability</w:t>
      </w:r>
    </w:p>
    <w:p w14:paraId="647C49B7" w14:textId="337F772E" w:rsidR="00F22417" w:rsidRPr="00F22417" w:rsidRDefault="00F22417" w:rsidP="00F22417">
      <w:pPr>
        <w:spacing w:before="240" w:after="60" w:line="240" w:lineRule="auto"/>
        <w:contextualSpacing/>
        <w:jc w:val="both"/>
        <w:rPr>
          <w:rFonts w:asciiTheme="minorBidi" w:hAnsiTheme="minorBidi"/>
          <w:sz w:val="24"/>
          <w:szCs w:val="24"/>
        </w:rPr>
      </w:pPr>
      <w:r w:rsidRPr="00F22417">
        <w:rPr>
          <w:rFonts w:asciiTheme="minorBidi" w:hAnsiTheme="minorBidi"/>
          <w:sz w:val="24"/>
          <w:szCs w:val="24"/>
        </w:rPr>
        <w:t>Holders of public office are accountable to the public for their decisions and actions and</w:t>
      </w:r>
      <w:r>
        <w:rPr>
          <w:rFonts w:asciiTheme="minorBidi" w:hAnsiTheme="minorBidi"/>
          <w:sz w:val="24"/>
          <w:szCs w:val="24"/>
        </w:rPr>
        <w:t xml:space="preserve"> </w:t>
      </w:r>
      <w:r w:rsidRPr="00F22417">
        <w:rPr>
          <w:rFonts w:asciiTheme="minorBidi" w:hAnsiTheme="minorBidi"/>
          <w:sz w:val="24"/>
          <w:szCs w:val="24"/>
        </w:rPr>
        <w:t>must submit themselves to the scrutiny necessary to ensure this.</w:t>
      </w:r>
    </w:p>
    <w:p w14:paraId="3301216E" w14:textId="77777777" w:rsidR="00F22417" w:rsidRDefault="00F22417" w:rsidP="00F22417">
      <w:pPr>
        <w:spacing w:before="240" w:after="60" w:line="240" w:lineRule="auto"/>
        <w:contextualSpacing/>
        <w:jc w:val="both"/>
        <w:rPr>
          <w:rFonts w:asciiTheme="minorBidi" w:hAnsiTheme="minorBidi"/>
          <w:sz w:val="24"/>
          <w:szCs w:val="24"/>
        </w:rPr>
      </w:pPr>
    </w:p>
    <w:p w14:paraId="0F24EB05" w14:textId="3C0BFD4C" w:rsidR="00F22417" w:rsidRPr="00F22417" w:rsidRDefault="00F22417" w:rsidP="00F22417">
      <w:pPr>
        <w:spacing w:before="240" w:after="60" w:line="240" w:lineRule="auto"/>
        <w:contextualSpacing/>
        <w:jc w:val="both"/>
        <w:rPr>
          <w:rFonts w:asciiTheme="minorBidi" w:hAnsiTheme="minorBidi"/>
          <w:b/>
          <w:bCs/>
          <w:sz w:val="24"/>
          <w:szCs w:val="24"/>
        </w:rPr>
      </w:pPr>
      <w:r w:rsidRPr="00F22417">
        <w:rPr>
          <w:rFonts w:asciiTheme="minorBidi" w:hAnsiTheme="minorBidi"/>
          <w:b/>
          <w:bCs/>
          <w:sz w:val="24"/>
          <w:szCs w:val="24"/>
        </w:rPr>
        <w:t>Openness</w:t>
      </w:r>
    </w:p>
    <w:p w14:paraId="7EDCC667" w14:textId="64DFD65E" w:rsidR="00F22417" w:rsidRPr="00F22417" w:rsidRDefault="00F22417" w:rsidP="00F22417">
      <w:pPr>
        <w:spacing w:before="240" w:after="60" w:line="240" w:lineRule="auto"/>
        <w:contextualSpacing/>
        <w:jc w:val="both"/>
        <w:rPr>
          <w:rFonts w:asciiTheme="minorBidi" w:hAnsiTheme="minorBidi"/>
          <w:sz w:val="24"/>
          <w:szCs w:val="24"/>
        </w:rPr>
      </w:pPr>
      <w:r w:rsidRPr="00F22417">
        <w:rPr>
          <w:rFonts w:asciiTheme="minorBidi" w:hAnsiTheme="minorBidi"/>
          <w:sz w:val="24"/>
          <w:szCs w:val="24"/>
        </w:rPr>
        <w:t>Holders of public office should act and take decisions in an open and transparent manner.</w:t>
      </w:r>
      <w:r>
        <w:rPr>
          <w:rFonts w:asciiTheme="minorBidi" w:hAnsiTheme="minorBidi"/>
          <w:sz w:val="24"/>
          <w:szCs w:val="24"/>
        </w:rPr>
        <w:t xml:space="preserve"> </w:t>
      </w:r>
      <w:r w:rsidRPr="00F22417">
        <w:rPr>
          <w:rFonts w:asciiTheme="minorBidi" w:hAnsiTheme="minorBidi"/>
          <w:sz w:val="24"/>
          <w:szCs w:val="24"/>
        </w:rPr>
        <w:t>Information should not be withheld from the public unless there are clear and lawful</w:t>
      </w:r>
      <w:r>
        <w:rPr>
          <w:rFonts w:asciiTheme="minorBidi" w:hAnsiTheme="minorBidi"/>
          <w:sz w:val="24"/>
          <w:szCs w:val="24"/>
        </w:rPr>
        <w:t xml:space="preserve"> </w:t>
      </w:r>
      <w:r w:rsidRPr="00F22417">
        <w:rPr>
          <w:rFonts w:asciiTheme="minorBidi" w:hAnsiTheme="minorBidi"/>
          <w:sz w:val="24"/>
          <w:szCs w:val="24"/>
        </w:rPr>
        <w:t>reasons for so doing.</w:t>
      </w:r>
    </w:p>
    <w:p w14:paraId="14B9577D" w14:textId="77777777" w:rsidR="00F22417" w:rsidRDefault="00F22417" w:rsidP="00F22417">
      <w:pPr>
        <w:spacing w:before="240" w:after="60" w:line="240" w:lineRule="auto"/>
        <w:contextualSpacing/>
        <w:jc w:val="both"/>
        <w:rPr>
          <w:rFonts w:asciiTheme="minorBidi" w:hAnsiTheme="minorBidi"/>
          <w:sz w:val="24"/>
          <w:szCs w:val="24"/>
        </w:rPr>
      </w:pPr>
    </w:p>
    <w:p w14:paraId="76B455F9" w14:textId="7A2FBED8" w:rsidR="00F22417" w:rsidRPr="00F22417" w:rsidRDefault="00F22417" w:rsidP="00F22417">
      <w:pPr>
        <w:spacing w:before="240" w:after="60" w:line="240" w:lineRule="auto"/>
        <w:contextualSpacing/>
        <w:jc w:val="both"/>
        <w:rPr>
          <w:rFonts w:asciiTheme="minorBidi" w:hAnsiTheme="minorBidi"/>
          <w:b/>
          <w:bCs/>
          <w:sz w:val="24"/>
          <w:szCs w:val="24"/>
        </w:rPr>
      </w:pPr>
      <w:r w:rsidRPr="00F22417">
        <w:rPr>
          <w:rFonts w:asciiTheme="minorBidi" w:hAnsiTheme="minorBidi"/>
          <w:b/>
          <w:bCs/>
          <w:sz w:val="24"/>
          <w:szCs w:val="24"/>
        </w:rPr>
        <w:t>Honesty</w:t>
      </w:r>
    </w:p>
    <w:p w14:paraId="7F533BB2" w14:textId="77777777" w:rsidR="00F22417" w:rsidRPr="00F22417" w:rsidRDefault="00F22417" w:rsidP="00F22417">
      <w:pPr>
        <w:spacing w:before="240" w:after="60" w:line="240" w:lineRule="auto"/>
        <w:contextualSpacing/>
        <w:jc w:val="both"/>
        <w:rPr>
          <w:rFonts w:asciiTheme="minorBidi" w:hAnsiTheme="minorBidi"/>
          <w:sz w:val="24"/>
          <w:szCs w:val="24"/>
        </w:rPr>
      </w:pPr>
      <w:r w:rsidRPr="00F22417">
        <w:rPr>
          <w:rFonts w:asciiTheme="minorBidi" w:hAnsiTheme="minorBidi"/>
          <w:sz w:val="24"/>
          <w:szCs w:val="24"/>
        </w:rPr>
        <w:t>Holders of public office should be truthful.</w:t>
      </w:r>
    </w:p>
    <w:p w14:paraId="22A5A709" w14:textId="77777777" w:rsidR="00F22417" w:rsidRDefault="00F22417" w:rsidP="00F22417">
      <w:pPr>
        <w:spacing w:before="240" w:after="60" w:line="240" w:lineRule="auto"/>
        <w:contextualSpacing/>
        <w:jc w:val="both"/>
        <w:rPr>
          <w:rFonts w:asciiTheme="minorBidi" w:hAnsiTheme="minorBidi"/>
          <w:sz w:val="24"/>
          <w:szCs w:val="24"/>
        </w:rPr>
      </w:pPr>
    </w:p>
    <w:p w14:paraId="372620D0" w14:textId="255E02FF" w:rsidR="00F22417" w:rsidRPr="00F22417" w:rsidRDefault="00F22417" w:rsidP="00F22417">
      <w:pPr>
        <w:spacing w:before="240" w:after="60" w:line="240" w:lineRule="auto"/>
        <w:contextualSpacing/>
        <w:jc w:val="both"/>
        <w:rPr>
          <w:rFonts w:asciiTheme="minorBidi" w:hAnsiTheme="minorBidi"/>
          <w:b/>
          <w:bCs/>
          <w:sz w:val="24"/>
          <w:szCs w:val="24"/>
        </w:rPr>
      </w:pPr>
      <w:r w:rsidRPr="00F22417">
        <w:rPr>
          <w:rFonts w:asciiTheme="minorBidi" w:hAnsiTheme="minorBidi"/>
          <w:b/>
          <w:bCs/>
          <w:sz w:val="24"/>
          <w:szCs w:val="24"/>
        </w:rPr>
        <w:t>Leadership</w:t>
      </w:r>
    </w:p>
    <w:p w14:paraId="4615F8F2" w14:textId="41EB74C7" w:rsidR="00F22417" w:rsidRPr="00084B08" w:rsidRDefault="00F22417" w:rsidP="00F22417">
      <w:pPr>
        <w:spacing w:before="240" w:after="60" w:line="240" w:lineRule="auto"/>
        <w:contextualSpacing/>
        <w:jc w:val="both"/>
        <w:rPr>
          <w:rFonts w:asciiTheme="minorBidi" w:hAnsiTheme="minorBidi"/>
          <w:sz w:val="24"/>
          <w:szCs w:val="24"/>
        </w:rPr>
      </w:pPr>
      <w:r w:rsidRPr="00F22417">
        <w:rPr>
          <w:rFonts w:asciiTheme="minorBidi" w:hAnsiTheme="minorBidi"/>
          <w:sz w:val="24"/>
          <w:szCs w:val="24"/>
        </w:rPr>
        <w:t>Holders of public office should exhibit these principles in their own behaviour. They should</w:t>
      </w:r>
      <w:r>
        <w:rPr>
          <w:rFonts w:asciiTheme="minorBidi" w:hAnsiTheme="minorBidi"/>
          <w:sz w:val="24"/>
          <w:szCs w:val="24"/>
        </w:rPr>
        <w:t xml:space="preserve"> </w:t>
      </w:r>
      <w:r w:rsidRPr="00F22417">
        <w:rPr>
          <w:rFonts w:asciiTheme="minorBidi" w:hAnsiTheme="minorBidi"/>
          <w:sz w:val="24"/>
          <w:szCs w:val="24"/>
        </w:rPr>
        <w:t>actively promote and robustly support the principles and be willing to challenge poor</w:t>
      </w:r>
      <w:r>
        <w:rPr>
          <w:rFonts w:asciiTheme="minorBidi" w:hAnsiTheme="minorBidi"/>
          <w:sz w:val="24"/>
          <w:szCs w:val="24"/>
        </w:rPr>
        <w:t xml:space="preserve"> </w:t>
      </w:r>
      <w:r w:rsidRPr="00F22417">
        <w:rPr>
          <w:rFonts w:asciiTheme="minorBidi" w:hAnsiTheme="minorBidi"/>
          <w:sz w:val="24"/>
          <w:szCs w:val="24"/>
        </w:rPr>
        <w:t>behaviour wherever it occurs.</w:t>
      </w:r>
    </w:p>
    <w:sectPr w:rsidR="00F22417" w:rsidRPr="00084B08" w:rsidSect="00F22417">
      <w:headerReference w:type="default" r:id="rId13"/>
      <w:footerReference w:type="default" r:id="rId14"/>
      <w:footerReference w:type="first" r:id="rId15"/>
      <w:pgSz w:w="11906" w:h="16838"/>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2C5A" w14:textId="77777777" w:rsidR="002B2F0E" w:rsidRDefault="002B2F0E" w:rsidP="00084B08">
      <w:pPr>
        <w:spacing w:after="0" w:line="240" w:lineRule="auto"/>
      </w:pPr>
      <w:r>
        <w:separator/>
      </w:r>
    </w:p>
  </w:endnote>
  <w:endnote w:type="continuationSeparator" w:id="0">
    <w:p w14:paraId="27D718FC" w14:textId="77777777" w:rsidR="002B2F0E" w:rsidRDefault="002B2F0E" w:rsidP="0008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DA4C" w14:textId="291A9CBA" w:rsidR="00084B08" w:rsidRDefault="00084B08">
    <w:pPr>
      <w:pStyle w:val="Footer"/>
      <w:pBdr>
        <w:bottom w:val="single" w:sz="6" w:space="1" w:color="auto"/>
      </w:pBdr>
    </w:pPr>
  </w:p>
  <w:p w14:paraId="13EAA5B2" w14:textId="4B192117" w:rsidR="00084B08" w:rsidRPr="00084B08" w:rsidRDefault="00084B08" w:rsidP="00084B08">
    <w:pPr>
      <w:pStyle w:val="Footer"/>
      <w:rPr>
        <w:rFonts w:asciiTheme="minorBidi" w:hAnsiTheme="minorBidi"/>
        <w:sz w:val="24"/>
        <w:szCs w:val="24"/>
      </w:rPr>
    </w:pPr>
    <w:r w:rsidRPr="00084B08">
      <w:rPr>
        <w:rFonts w:asciiTheme="minorBidi" w:hAnsiTheme="minorBidi"/>
        <w:sz w:val="24"/>
        <w:szCs w:val="24"/>
      </w:rPr>
      <w:tab/>
    </w:r>
    <w:r w:rsidRPr="00084B08">
      <w:rPr>
        <w:rFonts w:asciiTheme="minorBidi" w:hAnsiTheme="minorBidi"/>
        <w:sz w:val="24"/>
        <w:szCs w:val="24"/>
      </w:rPr>
      <w:tab/>
      <w:t xml:space="preserve">Page </w:t>
    </w:r>
    <w:r w:rsidRPr="00084B08">
      <w:rPr>
        <w:rFonts w:asciiTheme="minorBidi" w:hAnsiTheme="minorBidi"/>
        <w:sz w:val="24"/>
        <w:szCs w:val="24"/>
      </w:rPr>
      <w:fldChar w:fldCharType="begin"/>
    </w:r>
    <w:r w:rsidRPr="00084B08">
      <w:rPr>
        <w:rFonts w:asciiTheme="minorBidi" w:hAnsiTheme="minorBidi"/>
        <w:sz w:val="24"/>
        <w:szCs w:val="24"/>
      </w:rPr>
      <w:instrText xml:space="preserve"> PAGE </w:instrText>
    </w:r>
    <w:r w:rsidRPr="00084B08">
      <w:rPr>
        <w:rFonts w:asciiTheme="minorBidi" w:hAnsiTheme="minorBidi"/>
        <w:sz w:val="24"/>
        <w:szCs w:val="24"/>
      </w:rPr>
      <w:fldChar w:fldCharType="separate"/>
    </w:r>
    <w:r w:rsidRPr="00084B08">
      <w:rPr>
        <w:rFonts w:asciiTheme="minorBidi" w:hAnsiTheme="minorBidi"/>
        <w:sz w:val="24"/>
        <w:szCs w:val="24"/>
      </w:rPr>
      <w:t>3</w:t>
    </w:r>
    <w:r w:rsidRPr="00084B08">
      <w:rPr>
        <w:rFonts w:asciiTheme="minorBidi" w:hAnsiTheme="minorBidi"/>
        <w:sz w:val="24"/>
        <w:szCs w:val="24"/>
      </w:rPr>
      <w:fldChar w:fldCharType="end"/>
    </w:r>
    <w:r w:rsidRPr="00084B08">
      <w:rPr>
        <w:rFonts w:asciiTheme="minorBidi" w:hAnsiTheme="minorBidi"/>
        <w:sz w:val="24"/>
        <w:szCs w:val="24"/>
      </w:rPr>
      <w:t xml:space="preserve"> of </w:t>
    </w:r>
    <w:r w:rsidRPr="00084B08">
      <w:rPr>
        <w:rFonts w:asciiTheme="minorBidi" w:hAnsiTheme="minorBidi"/>
        <w:sz w:val="24"/>
        <w:szCs w:val="24"/>
      </w:rPr>
      <w:fldChar w:fldCharType="begin"/>
    </w:r>
    <w:r w:rsidRPr="00084B08">
      <w:rPr>
        <w:rFonts w:asciiTheme="minorBidi" w:hAnsiTheme="minorBidi"/>
        <w:sz w:val="24"/>
        <w:szCs w:val="24"/>
      </w:rPr>
      <w:instrText xml:space="preserve"> NUMPAGES </w:instrText>
    </w:r>
    <w:r w:rsidRPr="00084B08">
      <w:rPr>
        <w:rFonts w:asciiTheme="minorBidi" w:hAnsiTheme="minorBidi"/>
        <w:sz w:val="24"/>
        <w:szCs w:val="24"/>
      </w:rPr>
      <w:fldChar w:fldCharType="separate"/>
    </w:r>
    <w:r w:rsidRPr="00084B08">
      <w:rPr>
        <w:rFonts w:asciiTheme="minorBidi" w:hAnsiTheme="minorBidi"/>
        <w:sz w:val="24"/>
        <w:szCs w:val="24"/>
      </w:rPr>
      <w:t>3</w:t>
    </w:r>
    <w:r w:rsidRPr="00084B08">
      <w:rPr>
        <w:rFonts w:asciiTheme="minorBidi" w:hAnsiTheme="minorBid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C4F9" w14:textId="77777777" w:rsidR="00F22417" w:rsidRDefault="00F22417" w:rsidP="00F22417">
    <w:pPr>
      <w:pStyle w:val="Footer"/>
      <w:pBdr>
        <w:bottom w:val="single" w:sz="6" w:space="1" w:color="auto"/>
      </w:pBdr>
    </w:pPr>
  </w:p>
  <w:p w14:paraId="1CE4513A" w14:textId="1E735F3B" w:rsidR="00F22417" w:rsidRPr="00F22417" w:rsidRDefault="00F22417" w:rsidP="00F22417">
    <w:pPr>
      <w:pStyle w:val="Footer"/>
      <w:rPr>
        <w:rFonts w:asciiTheme="minorBidi" w:hAnsiTheme="minorBidi"/>
        <w:sz w:val="24"/>
        <w:szCs w:val="24"/>
      </w:rPr>
    </w:pPr>
    <w:r w:rsidRPr="00084B08">
      <w:rPr>
        <w:rFonts w:asciiTheme="minorBidi" w:hAnsiTheme="minorBidi"/>
        <w:sz w:val="24"/>
        <w:szCs w:val="24"/>
      </w:rPr>
      <w:tab/>
    </w:r>
    <w:r w:rsidRPr="00084B08">
      <w:rPr>
        <w:rFonts w:asciiTheme="minorBidi" w:hAnsiTheme="minorBidi"/>
        <w:sz w:val="24"/>
        <w:szCs w:val="24"/>
      </w:rPr>
      <w:tab/>
      <w:t xml:space="preserve">Page </w:t>
    </w:r>
    <w:r w:rsidRPr="00084B08">
      <w:rPr>
        <w:rFonts w:asciiTheme="minorBidi" w:hAnsiTheme="minorBidi"/>
        <w:sz w:val="24"/>
        <w:szCs w:val="24"/>
      </w:rPr>
      <w:fldChar w:fldCharType="begin"/>
    </w:r>
    <w:r w:rsidRPr="00084B08">
      <w:rPr>
        <w:rFonts w:asciiTheme="minorBidi" w:hAnsiTheme="minorBidi"/>
        <w:sz w:val="24"/>
        <w:szCs w:val="24"/>
      </w:rPr>
      <w:instrText xml:space="preserve"> PAGE </w:instrText>
    </w:r>
    <w:r w:rsidRPr="00084B08">
      <w:rPr>
        <w:rFonts w:asciiTheme="minorBidi" w:hAnsiTheme="minorBidi"/>
        <w:sz w:val="24"/>
        <w:szCs w:val="24"/>
      </w:rPr>
      <w:fldChar w:fldCharType="separate"/>
    </w:r>
    <w:r>
      <w:rPr>
        <w:rFonts w:asciiTheme="minorBidi" w:hAnsiTheme="minorBidi"/>
        <w:sz w:val="24"/>
        <w:szCs w:val="24"/>
      </w:rPr>
      <w:t>2</w:t>
    </w:r>
    <w:r w:rsidRPr="00084B08">
      <w:rPr>
        <w:rFonts w:asciiTheme="minorBidi" w:hAnsiTheme="minorBidi"/>
        <w:sz w:val="24"/>
        <w:szCs w:val="24"/>
      </w:rPr>
      <w:fldChar w:fldCharType="end"/>
    </w:r>
    <w:r w:rsidRPr="00084B08">
      <w:rPr>
        <w:rFonts w:asciiTheme="minorBidi" w:hAnsiTheme="minorBidi"/>
        <w:sz w:val="24"/>
        <w:szCs w:val="24"/>
      </w:rPr>
      <w:t xml:space="preserve"> of </w:t>
    </w:r>
    <w:r w:rsidRPr="00084B08">
      <w:rPr>
        <w:rFonts w:asciiTheme="minorBidi" w:hAnsiTheme="minorBidi"/>
        <w:sz w:val="24"/>
        <w:szCs w:val="24"/>
      </w:rPr>
      <w:fldChar w:fldCharType="begin"/>
    </w:r>
    <w:r w:rsidRPr="00084B08">
      <w:rPr>
        <w:rFonts w:asciiTheme="minorBidi" w:hAnsiTheme="minorBidi"/>
        <w:sz w:val="24"/>
        <w:szCs w:val="24"/>
      </w:rPr>
      <w:instrText xml:space="preserve"> NUMPAGES </w:instrText>
    </w:r>
    <w:r w:rsidRPr="00084B08">
      <w:rPr>
        <w:rFonts w:asciiTheme="minorBidi" w:hAnsiTheme="minorBidi"/>
        <w:sz w:val="24"/>
        <w:szCs w:val="24"/>
      </w:rPr>
      <w:fldChar w:fldCharType="separate"/>
    </w:r>
    <w:r>
      <w:rPr>
        <w:rFonts w:asciiTheme="minorBidi" w:hAnsiTheme="minorBidi"/>
        <w:sz w:val="24"/>
        <w:szCs w:val="24"/>
      </w:rPr>
      <w:t>3</w:t>
    </w:r>
    <w:r w:rsidRPr="00084B08">
      <w:rPr>
        <w:rFonts w:asciiTheme="minorBidi" w:hAnsiTheme="minorBid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C67D" w14:textId="77777777" w:rsidR="002B2F0E" w:rsidRDefault="002B2F0E" w:rsidP="00084B08">
      <w:pPr>
        <w:spacing w:after="0" w:line="240" w:lineRule="auto"/>
      </w:pPr>
      <w:r>
        <w:separator/>
      </w:r>
    </w:p>
  </w:footnote>
  <w:footnote w:type="continuationSeparator" w:id="0">
    <w:p w14:paraId="4FD32C94" w14:textId="77777777" w:rsidR="002B2F0E" w:rsidRDefault="002B2F0E" w:rsidP="0008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CD14" w14:textId="02B63FB4" w:rsidR="00084B08" w:rsidRDefault="00084B08" w:rsidP="00084B08">
    <w:pPr>
      <w:pStyle w:val="Header"/>
      <w:pBdr>
        <w:bottom w:val="single" w:sz="6" w:space="1" w:color="auto"/>
      </w:pBdr>
      <w:jc w:val="right"/>
      <w:rPr>
        <w:rFonts w:asciiTheme="minorBidi" w:hAnsiTheme="minorBidi"/>
        <w:sz w:val="24"/>
        <w:szCs w:val="24"/>
      </w:rPr>
    </w:pPr>
    <w:r w:rsidRPr="00084B08">
      <w:rPr>
        <w:rFonts w:asciiTheme="minorBidi" w:hAnsiTheme="minorBidi"/>
        <w:sz w:val="24"/>
        <w:szCs w:val="24"/>
      </w:rPr>
      <w:t>Historic England Ethical Fundraising and Partnerships Policy</w:t>
    </w:r>
  </w:p>
  <w:p w14:paraId="7C051776" w14:textId="47625441" w:rsidR="00084B08" w:rsidRDefault="00084B08" w:rsidP="00084B08">
    <w:pPr>
      <w:pStyle w:val="Header"/>
      <w:jc w:val="right"/>
      <w:rPr>
        <w:rFonts w:asciiTheme="minorBidi" w:hAnsiTheme="minorBidi"/>
        <w:sz w:val="24"/>
        <w:szCs w:val="24"/>
      </w:rPr>
    </w:pPr>
  </w:p>
  <w:p w14:paraId="22470C2B" w14:textId="77777777" w:rsidR="00F22417" w:rsidRPr="00084B08" w:rsidRDefault="00F22417" w:rsidP="00084B08">
    <w:pPr>
      <w:pStyle w:val="Header"/>
      <w:jc w:val="right"/>
      <w:rPr>
        <w:rFonts w:asciiTheme="minorBidi" w:hAnsiTheme="minorBid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A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D833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8511F2"/>
    <w:multiLevelType w:val="multilevel"/>
    <w:tmpl w:val="5F2485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C51F4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DF156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DB2B87"/>
    <w:multiLevelType w:val="multilevel"/>
    <w:tmpl w:val="768C599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BB65C3"/>
    <w:multiLevelType w:val="multilevel"/>
    <w:tmpl w:val="84FACE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CD24EF8"/>
    <w:multiLevelType w:val="multilevel"/>
    <w:tmpl w:val="92D8CC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20407">
    <w:abstractNumId w:val="5"/>
  </w:num>
  <w:num w:numId="2" w16cid:durableId="417291141">
    <w:abstractNumId w:val="3"/>
  </w:num>
  <w:num w:numId="3" w16cid:durableId="326134803">
    <w:abstractNumId w:val="4"/>
  </w:num>
  <w:num w:numId="4" w16cid:durableId="1171486902">
    <w:abstractNumId w:val="0"/>
  </w:num>
  <w:num w:numId="5" w16cid:durableId="2002078539">
    <w:abstractNumId w:val="1"/>
  </w:num>
  <w:num w:numId="6" w16cid:durableId="1701278862">
    <w:abstractNumId w:val="2"/>
  </w:num>
  <w:num w:numId="7" w16cid:durableId="514076841">
    <w:abstractNumId w:val="7"/>
  </w:num>
  <w:num w:numId="8" w16cid:durableId="1540971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3C"/>
    <w:rsid w:val="00084B08"/>
    <w:rsid w:val="001A7830"/>
    <w:rsid w:val="002018F7"/>
    <w:rsid w:val="00282681"/>
    <w:rsid w:val="002A3C05"/>
    <w:rsid w:val="002B2F0E"/>
    <w:rsid w:val="0033478C"/>
    <w:rsid w:val="00384D1D"/>
    <w:rsid w:val="003979E6"/>
    <w:rsid w:val="003C5158"/>
    <w:rsid w:val="0043302D"/>
    <w:rsid w:val="004337C6"/>
    <w:rsid w:val="004907D6"/>
    <w:rsid w:val="004B0692"/>
    <w:rsid w:val="004F78FF"/>
    <w:rsid w:val="00551E50"/>
    <w:rsid w:val="005A2942"/>
    <w:rsid w:val="005B2591"/>
    <w:rsid w:val="00634071"/>
    <w:rsid w:val="006A7197"/>
    <w:rsid w:val="00737B8F"/>
    <w:rsid w:val="007E07F8"/>
    <w:rsid w:val="007E0DA9"/>
    <w:rsid w:val="00805D06"/>
    <w:rsid w:val="00813163"/>
    <w:rsid w:val="008244A0"/>
    <w:rsid w:val="0087095D"/>
    <w:rsid w:val="008D3258"/>
    <w:rsid w:val="008F601B"/>
    <w:rsid w:val="00977DEA"/>
    <w:rsid w:val="009B6E3C"/>
    <w:rsid w:val="00AF0D15"/>
    <w:rsid w:val="00B17A16"/>
    <w:rsid w:val="00B31363"/>
    <w:rsid w:val="00B36C86"/>
    <w:rsid w:val="00B64F94"/>
    <w:rsid w:val="00BA4690"/>
    <w:rsid w:val="00BF3E95"/>
    <w:rsid w:val="00BF6122"/>
    <w:rsid w:val="00C216B7"/>
    <w:rsid w:val="00C80EA8"/>
    <w:rsid w:val="00CA49D7"/>
    <w:rsid w:val="00CB0EB3"/>
    <w:rsid w:val="00CC0D53"/>
    <w:rsid w:val="00CC367E"/>
    <w:rsid w:val="00CD79D6"/>
    <w:rsid w:val="00DC7652"/>
    <w:rsid w:val="00DD1292"/>
    <w:rsid w:val="00E31157"/>
    <w:rsid w:val="00E74D54"/>
    <w:rsid w:val="00F22417"/>
    <w:rsid w:val="00F30525"/>
    <w:rsid w:val="00F64820"/>
    <w:rsid w:val="00F72A54"/>
    <w:rsid w:val="00F9206F"/>
    <w:rsid w:val="00F96BD4"/>
    <w:rsid w:val="00FC19E9"/>
    <w:rsid w:val="00FD74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6C9373"/>
  <w15:chartTrackingRefBased/>
  <w15:docId w15:val="{AF725B16-2929-423E-A13B-3AE446C2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E3C"/>
    <w:pPr>
      <w:ind w:left="720"/>
      <w:contextualSpacing/>
    </w:pPr>
  </w:style>
  <w:style w:type="character" w:styleId="Hyperlink">
    <w:name w:val="Hyperlink"/>
    <w:basedOn w:val="DefaultParagraphFont"/>
    <w:uiPriority w:val="99"/>
    <w:unhideWhenUsed/>
    <w:rsid w:val="002018F7"/>
    <w:rPr>
      <w:color w:val="0563C1" w:themeColor="hyperlink"/>
      <w:u w:val="single"/>
    </w:rPr>
  </w:style>
  <w:style w:type="character" w:styleId="UnresolvedMention">
    <w:name w:val="Unresolved Mention"/>
    <w:basedOn w:val="DefaultParagraphFont"/>
    <w:uiPriority w:val="99"/>
    <w:semiHidden/>
    <w:unhideWhenUsed/>
    <w:rsid w:val="002018F7"/>
    <w:rPr>
      <w:color w:val="605E5C"/>
      <w:shd w:val="clear" w:color="auto" w:fill="E1DFDD"/>
    </w:rPr>
  </w:style>
  <w:style w:type="paragraph" w:styleId="Header">
    <w:name w:val="header"/>
    <w:basedOn w:val="Normal"/>
    <w:link w:val="HeaderChar"/>
    <w:uiPriority w:val="99"/>
    <w:unhideWhenUsed/>
    <w:rsid w:val="00084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B08"/>
  </w:style>
  <w:style w:type="paragraph" w:styleId="Footer">
    <w:name w:val="footer"/>
    <w:basedOn w:val="Normal"/>
    <w:link w:val="FooterChar"/>
    <w:unhideWhenUsed/>
    <w:rsid w:val="00084B08"/>
    <w:pPr>
      <w:tabs>
        <w:tab w:val="center" w:pos="4513"/>
        <w:tab w:val="right" w:pos="9026"/>
      </w:tabs>
      <w:spacing w:after="0" w:line="240" w:lineRule="auto"/>
    </w:pPr>
  </w:style>
  <w:style w:type="character" w:customStyle="1" w:styleId="FooterChar">
    <w:name w:val="Footer Char"/>
    <w:basedOn w:val="DefaultParagraphFont"/>
    <w:link w:val="Footer"/>
    <w:rsid w:val="00084B08"/>
  </w:style>
  <w:style w:type="paragraph" w:styleId="NoSpacing">
    <w:name w:val="No Spacing"/>
    <w:link w:val="NoSpacingChar"/>
    <w:uiPriority w:val="1"/>
    <w:qFormat/>
    <w:rsid w:val="00084B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84B08"/>
    <w:rPr>
      <w:rFonts w:eastAsiaTheme="minorEastAsia"/>
      <w:lang w:val="en-US"/>
    </w:rPr>
  </w:style>
  <w:style w:type="character" w:styleId="FollowedHyperlink">
    <w:name w:val="FollowedHyperlink"/>
    <w:basedOn w:val="DefaultParagraphFont"/>
    <w:uiPriority w:val="99"/>
    <w:semiHidden/>
    <w:unhideWhenUsed/>
    <w:rsid w:val="007E0DA9"/>
    <w:rPr>
      <w:color w:val="954F72" w:themeColor="followedHyperlink"/>
      <w:u w:val="single"/>
    </w:rPr>
  </w:style>
  <w:style w:type="character" w:styleId="CommentReference">
    <w:name w:val="annotation reference"/>
    <w:basedOn w:val="DefaultParagraphFont"/>
    <w:uiPriority w:val="99"/>
    <w:semiHidden/>
    <w:unhideWhenUsed/>
    <w:rsid w:val="00B31363"/>
    <w:rPr>
      <w:sz w:val="16"/>
      <w:szCs w:val="16"/>
    </w:rPr>
  </w:style>
  <w:style w:type="paragraph" w:styleId="CommentText">
    <w:name w:val="annotation text"/>
    <w:basedOn w:val="Normal"/>
    <w:link w:val="CommentTextChar"/>
    <w:uiPriority w:val="99"/>
    <w:semiHidden/>
    <w:unhideWhenUsed/>
    <w:rsid w:val="00B31363"/>
    <w:pPr>
      <w:spacing w:line="240" w:lineRule="auto"/>
    </w:pPr>
    <w:rPr>
      <w:sz w:val="20"/>
      <w:szCs w:val="20"/>
    </w:rPr>
  </w:style>
  <w:style w:type="character" w:customStyle="1" w:styleId="CommentTextChar">
    <w:name w:val="Comment Text Char"/>
    <w:basedOn w:val="DefaultParagraphFont"/>
    <w:link w:val="CommentText"/>
    <w:uiPriority w:val="99"/>
    <w:semiHidden/>
    <w:rsid w:val="00B31363"/>
    <w:rPr>
      <w:sz w:val="20"/>
      <w:szCs w:val="20"/>
    </w:rPr>
  </w:style>
  <w:style w:type="paragraph" w:styleId="CommentSubject">
    <w:name w:val="annotation subject"/>
    <w:basedOn w:val="CommentText"/>
    <w:next w:val="CommentText"/>
    <w:link w:val="CommentSubjectChar"/>
    <w:uiPriority w:val="99"/>
    <w:semiHidden/>
    <w:unhideWhenUsed/>
    <w:rsid w:val="00B31363"/>
    <w:rPr>
      <w:b/>
      <w:bCs/>
    </w:rPr>
  </w:style>
  <w:style w:type="character" w:customStyle="1" w:styleId="CommentSubjectChar">
    <w:name w:val="Comment Subject Char"/>
    <w:basedOn w:val="CommentTextChar"/>
    <w:link w:val="CommentSubject"/>
    <w:uiPriority w:val="99"/>
    <w:semiHidden/>
    <w:rsid w:val="00B31363"/>
    <w:rPr>
      <w:b/>
      <w:bCs/>
      <w:sz w:val="20"/>
      <w:szCs w:val="20"/>
    </w:rPr>
  </w:style>
  <w:style w:type="paragraph" w:styleId="BalloonText">
    <w:name w:val="Balloon Text"/>
    <w:basedOn w:val="Normal"/>
    <w:link w:val="BalloonTextChar"/>
    <w:uiPriority w:val="99"/>
    <w:semiHidden/>
    <w:unhideWhenUsed/>
    <w:rsid w:val="00B31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363"/>
    <w:rPr>
      <w:rFonts w:ascii="Segoe UI" w:hAnsi="Segoe UI" w:cs="Segoe UI"/>
      <w:sz w:val="18"/>
      <w:szCs w:val="18"/>
    </w:rPr>
  </w:style>
  <w:style w:type="paragraph" w:styleId="Revision">
    <w:name w:val="Revision"/>
    <w:hidden/>
    <w:uiPriority w:val="99"/>
    <w:semiHidden/>
    <w:rsid w:val="00CC0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istoricengland.org.uk/about/what-we-do/corporate-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952b06-3268-4e55-b0fe-9eb49669fc08" xsi:nil="true"/>
    <lcf76f155ced4ddcb4097134ff3c332f xmlns="8424cb6e-5546-447e-af93-4299b2ab12b0">
      <Terms xmlns="http://schemas.microsoft.com/office/infopath/2007/PartnerControls"/>
    </lcf76f155ced4ddcb4097134ff3c332f>
    <SharedWithUsers xmlns="10b2c940-4bd6-4e69-9faa-2b462c11c148">
      <UserInfo>
        <DisplayName>Jhita, Emma</DisplayName>
        <AccountId>22</AccountId>
        <AccountType/>
      </UserInfo>
      <UserInfo>
        <DisplayName>Fraser, Victoria</DisplayName>
        <AccountId>23</AccountId>
        <AccountType/>
      </UserInfo>
      <UserInfo>
        <DisplayName>Butler-Watts, Nicholas</DisplayName>
        <AccountId>29</AccountId>
        <AccountType/>
      </UserInfo>
      <UserInfo>
        <DisplayName>Johnson, Merryn</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095714D98A0E4C899024051108E09D" ma:contentTypeVersion="18" ma:contentTypeDescription="Create a new document." ma:contentTypeScope="" ma:versionID="677f66a1a3dc340d3c19a22675116b5a">
  <xsd:schema xmlns:xsd="http://www.w3.org/2001/XMLSchema" xmlns:xs="http://www.w3.org/2001/XMLSchema" xmlns:p="http://schemas.microsoft.com/office/2006/metadata/properties" xmlns:ns2="8424cb6e-5546-447e-af93-4299b2ab12b0" xmlns:ns3="10b2c940-4bd6-4e69-9faa-2b462c11c148" xmlns:ns4="bb952b06-3268-4e55-b0fe-9eb49669fc08" targetNamespace="http://schemas.microsoft.com/office/2006/metadata/properties" ma:root="true" ma:fieldsID="ba3273cb4f0b0b597662eaa8c1be7e84" ns2:_="" ns3:_="" ns4:_="">
    <xsd:import namespace="8424cb6e-5546-447e-af93-4299b2ab12b0"/>
    <xsd:import namespace="10b2c940-4bd6-4e69-9faa-2b462c11c148"/>
    <xsd:import namespace="bb952b06-3268-4e55-b0fe-9eb49669f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4cb6e-5546-447e-af93-4299b2ab1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f4335e-c6cf-4429-aa3a-f62cbecd1b5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2c940-4bd6-4e69-9faa-2b462c11c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52b06-3268-4e55-b0fe-9eb49669fc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5ebb55-435d-4063-a664-31ea9d853abc}" ma:internalName="TaxCatchAll" ma:showField="CatchAllData" ma:web="10b2c940-4bd6-4e69-9faa-2b462c11c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B5563-92E5-47E0-8465-4DD555E7B140}">
  <ds:schemaRefs>
    <ds:schemaRef ds:uri="bb952b06-3268-4e55-b0fe-9eb49669fc08"/>
    <ds:schemaRef ds:uri="http://purl.org/dc/terms/"/>
    <ds:schemaRef ds:uri="http://www.w3.org/XML/1998/namespace"/>
    <ds:schemaRef ds:uri="http://purl.org/dc/elements/1.1/"/>
    <ds:schemaRef ds:uri="8424cb6e-5546-447e-af93-4299b2ab12b0"/>
    <ds:schemaRef ds:uri="10b2c940-4bd6-4e69-9faa-2b462c11c148"/>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BBDC295-E304-4AB1-8E75-A1C704B3E8BE}">
  <ds:schemaRefs>
    <ds:schemaRef ds:uri="http://schemas.openxmlformats.org/officeDocument/2006/bibliography"/>
  </ds:schemaRefs>
</ds:datastoreItem>
</file>

<file path=customXml/itemProps3.xml><?xml version="1.0" encoding="utf-8"?>
<ds:datastoreItem xmlns:ds="http://schemas.openxmlformats.org/officeDocument/2006/customXml" ds:itemID="{FFB3B29A-8BD6-4E83-A6E7-DBD2E49B0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4cb6e-5546-447e-af93-4299b2ab12b0"/>
    <ds:schemaRef ds:uri="10b2c940-4bd6-4e69-9faa-2b462c11c148"/>
    <ds:schemaRef ds:uri="bb952b06-3268-4e55-b0fe-9eb49669f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11C90-093A-4E66-84B4-49984ABB4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Merryn</dc:creator>
  <cp:keywords/>
  <dc:description/>
  <cp:lastModifiedBy>Holban, Luminita</cp:lastModifiedBy>
  <cp:revision>3</cp:revision>
  <cp:lastPrinted>2023-02-16T15:17:00Z</cp:lastPrinted>
  <dcterms:created xsi:type="dcterms:W3CDTF">2025-05-19T10:14:00Z</dcterms:created>
  <dcterms:modified xsi:type="dcterms:W3CDTF">2025-05-19T15:43:00Z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0x01010031095714D98A0E4C899024051108E09D</vt:lpwstr>
  </property>
  <property fmtid="{D5CDD505-2E9C-101B-9397-08002B2CF9AE}" pid="3" name="MediaServiceImageTags">
    <vt:lpwstr/>
  </property>
</Properties>
</file>